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806A" w14:textId="03C05C91" w:rsidR="007143F9" w:rsidRPr="005523F8" w:rsidRDefault="007143F9" w:rsidP="007143F9">
      <w:pPr>
        <w:contextualSpacing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523F8">
        <w:rPr>
          <w:i/>
          <w:iCs/>
        </w:rPr>
        <w:t>Sid 1/</w:t>
      </w:r>
      <w:r w:rsidR="005F471D">
        <w:rPr>
          <w:i/>
          <w:iCs/>
        </w:rPr>
        <w:t>7</w:t>
      </w:r>
    </w:p>
    <w:p w14:paraId="7BB920C5" w14:textId="77777777" w:rsidR="007143F9" w:rsidRPr="00ED34AA" w:rsidRDefault="007143F9" w:rsidP="007143F9">
      <w:pPr>
        <w:contextualSpacing/>
        <w:jc w:val="center"/>
        <w:rPr>
          <w:i/>
          <w:iCs/>
          <w:sz w:val="28"/>
          <w:szCs w:val="28"/>
        </w:rPr>
      </w:pPr>
      <w:r w:rsidRPr="00ED34AA">
        <w:rPr>
          <w:i/>
          <w:iCs/>
          <w:sz w:val="28"/>
          <w:szCs w:val="28"/>
        </w:rPr>
        <w:t>Säkerhetsdatablad</w:t>
      </w:r>
    </w:p>
    <w:p w14:paraId="082B2399" w14:textId="77777777" w:rsidR="007143F9" w:rsidRDefault="007143F9" w:rsidP="007143F9">
      <w:pPr>
        <w:contextualSpacing/>
        <w:jc w:val="center"/>
        <w:rPr>
          <w:i/>
          <w:iCs/>
          <w:sz w:val="24"/>
          <w:szCs w:val="24"/>
        </w:rPr>
      </w:pPr>
      <w:r w:rsidRPr="00D67CF0">
        <w:rPr>
          <w:i/>
          <w:iCs/>
          <w:sz w:val="24"/>
          <w:szCs w:val="24"/>
        </w:rPr>
        <w:t>enligt 1907/2006/EG, Artikel 31</w:t>
      </w:r>
    </w:p>
    <w:p w14:paraId="7A016C23" w14:textId="36740632" w:rsidR="007143F9" w:rsidRDefault="007143F9" w:rsidP="007143F9">
      <w:pPr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4553A6">
        <w:rPr>
          <w:i/>
          <w:iCs/>
          <w:sz w:val="24"/>
          <w:szCs w:val="24"/>
        </w:rPr>
        <w:t>Utskriftsdatum: 2019-0</w:t>
      </w:r>
      <w:r>
        <w:rPr>
          <w:i/>
          <w:iCs/>
          <w:sz w:val="24"/>
          <w:szCs w:val="24"/>
        </w:rPr>
        <w:t>6</w:t>
      </w:r>
      <w:r w:rsidRPr="004553A6">
        <w:rPr>
          <w:i/>
          <w:iCs/>
          <w:sz w:val="24"/>
          <w:szCs w:val="24"/>
        </w:rPr>
        <w:t>-0</w:t>
      </w:r>
      <w:r>
        <w:rPr>
          <w:i/>
          <w:iCs/>
          <w:sz w:val="24"/>
          <w:szCs w:val="24"/>
        </w:rPr>
        <w:t>3</w:t>
      </w:r>
      <w:r w:rsidRPr="004553A6">
        <w:rPr>
          <w:i/>
          <w:iCs/>
          <w:sz w:val="24"/>
          <w:szCs w:val="24"/>
        </w:rPr>
        <w:t xml:space="preserve"> </w:t>
      </w:r>
      <w:r w:rsidRPr="004553A6">
        <w:rPr>
          <w:i/>
          <w:iCs/>
          <w:sz w:val="24"/>
          <w:szCs w:val="24"/>
        </w:rPr>
        <w:tab/>
        <w:t xml:space="preserve">    Version nummer 1                                        Reviderad: 2019-0</w:t>
      </w:r>
      <w:r>
        <w:rPr>
          <w:i/>
          <w:iCs/>
          <w:sz w:val="24"/>
          <w:szCs w:val="24"/>
        </w:rPr>
        <w:t>6</w:t>
      </w:r>
      <w:r w:rsidRPr="004553A6">
        <w:rPr>
          <w:i/>
          <w:iCs/>
          <w:sz w:val="24"/>
          <w:szCs w:val="24"/>
        </w:rPr>
        <w:t>-0</w:t>
      </w:r>
      <w:r>
        <w:rPr>
          <w:i/>
          <w:iCs/>
          <w:sz w:val="24"/>
          <w:szCs w:val="24"/>
        </w:rPr>
        <w:t>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31E2" w:rsidRPr="003E67E3" w14:paraId="49C7755F" w14:textId="77777777" w:rsidTr="007B0372">
        <w:tc>
          <w:tcPr>
            <w:tcW w:w="10456" w:type="dxa"/>
          </w:tcPr>
          <w:p w14:paraId="0D0DA382" w14:textId="77777777" w:rsidR="00D031E2" w:rsidRDefault="00D031E2" w:rsidP="007B0372">
            <w:pPr>
              <w:contextualSpacing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D80698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AVSNITT 1: Identifiering av ämnet eller blandningen och</w:t>
            </w:r>
            <w:r w:rsidRPr="00BC037E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 xml:space="preserve"> företag</w:t>
            </w:r>
          </w:p>
          <w:p w14:paraId="5F466448" w14:textId="77777777" w:rsidR="00D031E2" w:rsidRPr="003E67E3" w:rsidRDefault="00D031E2" w:rsidP="007B0372">
            <w:pPr>
              <w:contextualSpacing/>
              <w:rPr>
                <w:rFonts w:cstheme="minorHAnsi"/>
                <w:i/>
                <w:iCs/>
              </w:rPr>
            </w:pPr>
            <w:r w:rsidRPr="003E67E3">
              <w:rPr>
                <w:rFonts w:cstheme="minorHAnsi"/>
                <w:i/>
                <w:iCs/>
              </w:rPr>
              <w:t>· 1.1 Produktbeteckning</w:t>
            </w:r>
          </w:p>
          <w:p w14:paraId="2A81F584" w14:textId="26246E5B" w:rsidR="00D031E2" w:rsidRPr="004F1E75" w:rsidRDefault="00D031E2" w:rsidP="007B0372">
            <w:pPr>
              <w:contextualSpacing/>
              <w:rPr>
                <w:rFonts w:cstheme="minorHAnsi"/>
                <w:i/>
                <w:iCs/>
              </w:rPr>
            </w:pPr>
            <w:r w:rsidRPr="003E67E3">
              <w:rPr>
                <w:rFonts w:cstheme="minorHAnsi"/>
                <w:i/>
                <w:iCs/>
              </w:rPr>
              <w:t xml:space="preserve">· Handelsnamn: </w:t>
            </w:r>
            <w:r w:rsidRPr="004F1E75">
              <w:rPr>
                <w:rFonts w:cstheme="minorHAnsi"/>
                <w:i/>
                <w:iCs/>
              </w:rPr>
              <w:t xml:space="preserve">Trixie </w:t>
            </w:r>
            <w:r>
              <w:rPr>
                <w:rFonts w:cstheme="minorHAnsi"/>
                <w:i/>
                <w:iCs/>
              </w:rPr>
              <w:t>Torrschampo</w:t>
            </w:r>
          </w:p>
          <w:p w14:paraId="56B48B90" w14:textId="311292EC" w:rsidR="00D031E2" w:rsidRPr="003E67E3" w:rsidRDefault="00D031E2" w:rsidP="007B0372">
            <w:pPr>
              <w:contextualSpacing/>
              <w:rPr>
                <w:rFonts w:cstheme="minorHAnsi"/>
                <w:i/>
                <w:iCs/>
              </w:rPr>
            </w:pPr>
            <w:r w:rsidRPr="004F1E75">
              <w:rPr>
                <w:rFonts w:cstheme="minorHAnsi"/>
                <w:i/>
                <w:iCs/>
              </w:rPr>
              <w:t xml:space="preserve">· Artikelnummer: </w:t>
            </w:r>
            <w:r w:rsidR="007F3569">
              <w:rPr>
                <w:rFonts w:cstheme="minorHAnsi"/>
                <w:i/>
                <w:iCs/>
              </w:rPr>
              <w:t>29181, 29182</w:t>
            </w:r>
          </w:p>
          <w:p w14:paraId="675AFF82" w14:textId="77777777" w:rsidR="00D031E2" w:rsidRPr="00991606" w:rsidRDefault="00D031E2" w:rsidP="007B0372">
            <w:pPr>
              <w:contextualSpacing/>
              <w:rPr>
                <w:i/>
                <w:iCs/>
              </w:rPr>
            </w:pPr>
            <w:r w:rsidRPr="003E67E3">
              <w:rPr>
                <w:rFonts w:cstheme="minorHAnsi"/>
                <w:i/>
                <w:iCs/>
              </w:rPr>
              <w:t xml:space="preserve">· 1.2 </w:t>
            </w:r>
            <w:r w:rsidRPr="00991606">
              <w:rPr>
                <w:i/>
                <w:iCs/>
              </w:rPr>
              <w:t>Relevant användningsområde samt avrådan av ämnet/blandningen.</w:t>
            </w:r>
          </w:p>
          <w:p w14:paraId="29090328" w14:textId="77777777" w:rsidR="00D031E2" w:rsidRPr="003E67E3" w:rsidRDefault="00D031E2" w:rsidP="007B0372">
            <w:pPr>
              <w:contextualSpacing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D80698">
              <w:rPr>
                <w:i/>
                <w:iCs/>
              </w:rPr>
              <w:t>Ingen ytterligare relevant information tillgänglig.</w:t>
            </w:r>
          </w:p>
          <w:p w14:paraId="59CAE2B5" w14:textId="77777777" w:rsidR="00D031E2" w:rsidRPr="003E67E3" w:rsidRDefault="00D031E2" w:rsidP="007B0372">
            <w:pPr>
              <w:contextualSpacing/>
              <w:rPr>
                <w:rFonts w:cstheme="minorHAnsi"/>
                <w:i/>
                <w:iCs/>
              </w:rPr>
            </w:pPr>
            <w:r w:rsidRPr="003E67E3">
              <w:rPr>
                <w:rFonts w:cstheme="minorHAnsi"/>
                <w:i/>
                <w:iCs/>
              </w:rPr>
              <w:t>· Användning av ämnet/blandningen</w:t>
            </w:r>
            <w:r>
              <w:rPr>
                <w:rFonts w:cstheme="minorHAnsi"/>
                <w:i/>
                <w:iCs/>
              </w:rPr>
              <w:t>:</w:t>
            </w:r>
            <w:r w:rsidRPr="003E67E3">
              <w:rPr>
                <w:rFonts w:cstheme="minorHAnsi"/>
                <w:i/>
                <w:iCs/>
              </w:rPr>
              <w:t xml:space="preserve"> Rengöringsmedel för djur</w:t>
            </w:r>
          </w:p>
          <w:p w14:paraId="5768170A" w14:textId="77777777" w:rsidR="00D031E2" w:rsidRDefault="00D031E2" w:rsidP="007B0372">
            <w:pPr>
              <w:contextualSpacing/>
              <w:rPr>
                <w:rFonts w:cstheme="minorHAnsi"/>
                <w:i/>
                <w:iCs/>
              </w:rPr>
            </w:pPr>
            <w:r w:rsidRPr="003E67E3">
              <w:rPr>
                <w:rFonts w:cstheme="minorHAnsi"/>
                <w:i/>
                <w:iCs/>
              </w:rPr>
              <w:t>· 1.3 Uppgifter om leverantören som tillhandahåller säkerhetsdatabladet</w:t>
            </w:r>
          </w:p>
          <w:p w14:paraId="4F48B9F1" w14:textId="77777777" w:rsidR="00D031E2" w:rsidRPr="003E67E3" w:rsidRDefault="00D031E2" w:rsidP="007B0372">
            <w:pPr>
              <w:contextualSpacing/>
              <w:rPr>
                <w:rFonts w:cstheme="minorHAnsi"/>
                <w:i/>
                <w:iCs/>
              </w:rPr>
            </w:pPr>
          </w:p>
          <w:p w14:paraId="34122E30" w14:textId="77777777" w:rsidR="00D031E2" w:rsidRPr="003E67E3" w:rsidRDefault="00D031E2" w:rsidP="007B0372">
            <w:pPr>
              <w:contextualSpacing/>
              <w:rPr>
                <w:rFonts w:cstheme="minorHAnsi"/>
                <w:i/>
                <w:iCs/>
                <w:lang w:val="en-US"/>
              </w:rPr>
            </w:pPr>
            <w:r w:rsidRPr="003E67E3">
              <w:rPr>
                <w:rFonts w:cstheme="minorHAnsi"/>
                <w:i/>
                <w:iCs/>
                <w:lang w:val="en-US"/>
              </w:rPr>
              <w:t xml:space="preserve">· </w:t>
            </w:r>
            <w:proofErr w:type="spellStart"/>
            <w:r w:rsidRPr="003E67E3">
              <w:rPr>
                <w:rFonts w:cstheme="minorHAnsi"/>
                <w:i/>
                <w:iCs/>
                <w:lang w:val="en-US"/>
              </w:rPr>
              <w:t>Tillverkare</w:t>
            </w:r>
            <w:proofErr w:type="spellEnd"/>
            <w:r w:rsidRPr="003E67E3">
              <w:rPr>
                <w:rFonts w:cstheme="minorHAnsi"/>
                <w:i/>
                <w:iCs/>
                <w:lang w:val="en-US"/>
              </w:rPr>
              <w:t>/</w:t>
            </w:r>
            <w:proofErr w:type="spellStart"/>
            <w:r w:rsidRPr="003E67E3">
              <w:rPr>
                <w:rFonts w:cstheme="minorHAnsi"/>
                <w:i/>
                <w:iCs/>
                <w:lang w:val="en-US"/>
              </w:rPr>
              <w:t>leverantör</w:t>
            </w:r>
            <w:proofErr w:type="spellEnd"/>
            <w:r w:rsidRPr="003E67E3">
              <w:rPr>
                <w:rFonts w:cstheme="minorHAnsi"/>
                <w:i/>
                <w:iCs/>
                <w:lang w:val="en-US"/>
              </w:rPr>
              <w:t>:</w:t>
            </w:r>
          </w:p>
          <w:p w14:paraId="3882C6E6" w14:textId="77777777" w:rsidR="00D031E2" w:rsidRPr="003E67E3" w:rsidRDefault="00D031E2" w:rsidP="007B037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 xml:space="preserve">  </w:t>
            </w:r>
            <w:r w:rsidRPr="003E67E3">
              <w:rPr>
                <w:rFonts w:cstheme="minorHAnsi"/>
                <w:i/>
                <w:iCs/>
                <w:lang w:val="en-US"/>
              </w:rPr>
              <w:t>Qing Dao Magic Pet Products Research &amp; Development Co., Ltd.</w:t>
            </w:r>
          </w:p>
          <w:p w14:paraId="0C1528C5" w14:textId="77777777" w:rsidR="00D031E2" w:rsidRPr="003E67E3" w:rsidRDefault="00D031E2" w:rsidP="007B037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 xml:space="preserve">  </w:t>
            </w:r>
            <w:proofErr w:type="spellStart"/>
            <w:r w:rsidRPr="003E67E3">
              <w:rPr>
                <w:rFonts w:cstheme="minorHAnsi"/>
                <w:i/>
                <w:iCs/>
                <w:lang w:val="en-US"/>
              </w:rPr>
              <w:t>Huanhai</w:t>
            </w:r>
            <w:proofErr w:type="spellEnd"/>
            <w:r w:rsidRPr="003E67E3">
              <w:rPr>
                <w:rFonts w:cstheme="minorHAnsi"/>
                <w:i/>
                <w:iCs/>
                <w:lang w:val="en-US"/>
              </w:rPr>
              <w:t xml:space="preserve"> Economy &amp; Technology Development Zone</w:t>
            </w:r>
          </w:p>
          <w:p w14:paraId="22C9BE6C" w14:textId="77777777" w:rsidR="00D031E2" w:rsidRPr="00123332" w:rsidRDefault="00D031E2" w:rsidP="007B0372">
            <w:pPr>
              <w:contextualSpacing/>
              <w:rPr>
                <w:rFonts w:cstheme="minorHAnsi"/>
                <w:i/>
                <w:iCs/>
                <w:lang w:val="en-US"/>
              </w:rPr>
            </w:pPr>
            <w:r w:rsidRPr="00123332">
              <w:rPr>
                <w:rFonts w:cstheme="minorHAnsi"/>
                <w:i/>
                <w:iCs/>
                <w:lang w:val="en-US"/>
              </w:rPr>
              <w:t xml:space="preserve">  266108 Qingdao, China</w:t>
            </w:r>
          </w:p>
          <w:p w14:paraId="309AF932" w14:textId="77777777" w:rsidR="00D031E2" w:rsidRPr="00440555" w:rsidRDefault="00D031E2" w:rsidP="007B0372">
            <w:pPr>
              <w:contextualSpacing/>
              <w:rPr>
                <w:i/>
                <w:iCs/>
                <w:lang w:val="en-US"/>
              </w:rPr>
            </w:pPr>
          </w:p>
          <w:p w14:paraId="4456C356" w14:textId="77777777" w:rsidR="00D031E2" w:rsidRDefault="00D031E2" w:rsidP="007B0372">
            <w:pPr>
              <w:contextualSpacing/>
              <w:rPr>
                <w:i/>
                <w:iCs/>
              </w:rPr>
            </w:pPr>
            <w:r w:rsidRPr="00440555">
              <w:rPr>
                <w:i/>
                <w:iCs/>
                <w:lang w:val="en-US"/>
              </w:rPr>
              <w:t xml:space="preserve">  </w:t>
            </w:r>
            <w:r w:rsidRPr="00D80698">
              <w:rPr>
                <w:i/>
                <w:iCs/>
              </w:rPr>
              <w:t xml:space="preserve">E-post till behörig person: </w:t>
            </w:r>
            <w:hyperlink r:id="rId6" w:history="1">
              <w:r w:rsidRPr="00C55F38">
                <w:rPr>
                  <w:rStyle w:val="Hyperlnk"/>
                  <w:i/>
                  <w:iCs/>
                </w:rPr>
                <w:t>ulrich.boenig@clc-boenig.de</w:t>
              </w:r>
            </w:hyperlink>
          </w:p>
          <w:p w14:paraId="4F90A1B8" w14:textId="77777777" w:rsidR="00D031E2" w:rsidRPr="00B1010D" w:rsidRDefault="00D031E2" w:rsidP="007B0372">
            <w:pPr>
              <w:contextualSpacing/>
              <w:rPr>
                <w:i/>
                <w:iCs/>
                <w:lang w:val="en-US"/>
              </w:rPr>
            </w:pPr>
            <w:r w:rsidRPr="00991606">
              <w:rPr>
                <w:i/>
                <w:iCs/>
              </w:rPr>
              <w:t xml:space="preserve">  </w:t>
            </w:r>
            <w:proofErr w:type="spellStart"/>
            <w:r>
              <w:rPr>
                <w:i/>
                <w:iCs/>
                <w:lang w:val="en-US"/>
              </w:rPr>
              <w:t>D</w:t>
            </w:r>
            <w:r w:rsidRPr="00B1010D">
              <w:rPr>
                <w:i/>
                <w:iCs/>
                <w:lang w:val="en-US"/>
              </w:rPr>
              <w:t>istributör</w:t>
            </w:r>
            <w:proofErr w:type="spellEnd"/>
            <w:r w:rsidRPr="00B1010D">
              <w:rPr>
                <w:i/>
                <w:iCs/>
                <w:lang w:val="en-US"/>
              </w:rPr>
              <w:t>:</w:t>
            </w:r>
          </w:p>
          <w:p w14:paraId="7A98E3C3" w14:textId="77777777" w:rsidR="00D031E2" w:rsidRPr="00D80698" w:rsidRDefault="00D031E2" w:rsidP="007B0372">
            <w:pPr>
              <w:contextualSpacing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 xml:space="preserve">  </w:t>
            </w:r>
            <w:r w:rsidRPr="00B1010D">
              <w:rPr>
                <w:i/>
                <w:iCs/>
                <w:lang w:val="en-US"/>
              </w:rPr>
              <w:t xml:space="preserve">TRIXIE </w:t>
            </w:r>
            <w:proofErr w:type="spellStart"/>
            <w:r w:rsidRPr="00B1010D">
              <w:rPr>
                <w:i/>
                <w:iCs/>
                <w:lang w:val="en-US"/>
              </w:rPr>
              <w:t>Heimtierbedarf</w:t>
            </w:r>
            <w:proofErr w:type="spellEnd"/>
            <w:r w:rsidRPr="00B1010D">
              <w:rPr>
                <w:i/>
                <w:iCs/>
                <w:lang w:val="en-US"/>
              </w:rPr>
              <w:t xml:space="preserve"> GmbH &amp; Co. </w:t>
            </w:r>
            <w:r w:rsidRPr="00D80698">
              <w:rPr>
                <w:i/>
                <w:iCs/>
              </w:rPr>
              <w:t>KG</w:t>
            </w:r>
          </w:p>
          <w:p w14:paraId="56669A76" w14:textId="77777777" w:rsidR="00D031E2" w:rsidRPr="00D80698" w:rsidRDefault="00D031E2" w:rsidP="007B0372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proofErr w:type="spellStart"/>
            <w:r w:rsidRPr="00D80698">
              <w:rPr>
                <w:i/>
                <w:iCs/>
              </w:rPr>
              <w:t>Industriestrasse</w:t>
            </w:r>
            <w:proofErr w:type="spellEnd"/>
            <w:r w:rsidRPr="00D80698">
              <w:rPr>
                <w:i/>
                <w:iCs/>
              </w:rPr>
              <w:t xml:space="preserve"> 32</w:t>
            </w:r>
          </w:p>
          <w:p w14:paraId="39408CFD" w14:textId="77777777" w:rsidR="00D031E2" w:rsidRPr="00D80698" w:rsidRDefault="00D031E2" w:rsidP="007B0372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D80698">
              <w:rPr>
                <w:i/>
                <w:iCs/>
              </w:rPr>
              <w:t xml:space="preserve">D-24963 </w:t>
            </w:r>
            <w:proofErr w:type="spellStart"/>
            <w:r w:rsidRPr="00D80698">
              <w:rPr>
                <w:i/>
                <w:iCs/>
              </w:rPr>
              <w:t>Tarp</w:t>
            </w:r>
            <w:proofErr w:type="spellEnd"/>
          </w:p>
          <w:p w14:paraId="7C6DA3DE" w14:textId="77777777" w:rsidR="00D031E2" w:rsidRPr="00D80698" w:rsidRDefault="00D031E2" w:rsidP="007B0372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D80698">
              <w:rPr>
                <w:i/>
                <w:iCs/>
              </w:rPr>
              <w:t>Telefon: +49-(0) 4638-2109-250</w:t>
            </w:r>
          </w:p>
          <w:p w14:paraId="15347350" w14:textId="77777777" w:rsidR="00D031E2" w:rsidRPr="00D80698" w:rsidRDefault="00D031E2" w:rsidP="007B0372">
            <w:pPr>
              <w:contextualSpacing/>
              <w:rPr>
                <w:i/>
                <w:iCs/>
              </w:rPr>
            </w:pPr>
            <w:r w:rsidRPr="00991606">
              <w:rPr>
                <w:i/>
                <w:iCs/>
              </w:rPr>
              <w:t>· Avdelning som tillhandahåller information:</w:t>
            </w:r>
            <w:r w:rsidRPr="00D80698">
              <w:rPr>
                <w:i/>
                <w:iCs/>
              </w:rPr>
              <w:t xml:space="preserve"> Produktsäkerhetsavdelning</w:t>
            </w:r>
            <w:r>
              <w:rPr>
                <w:i/>
                <w:iCs/>
              </w:rPr>
              <w:t>en</w:t>
            </w:r>
          </w:p>
          <w:p w14:paraId="18387AB0" w14:textId="77777777" w:rsidR="00D031E2" w:rsidRPr="003E67E3" w:rsidRDefault="00D031E2" w:rsidP="007B0372">
            <w:pPr>
              <w:contextualSpacing/>
              <w:rPr>
                <w:i/>
                <w:iCs/>
                <w:sz w:val="24"/>
                <w:szCs w:val="24"/>
              </w:rPr>
            </w:pPr>
            <w:r w:rsidRPr="00991606">
              <w:rPr>
                <w:i/>
                <w:iCs/>
              </w:rPr>
              <w:t>· 1.4 Nödnummer:</w:t>
            </w:r>
            <w:r w:rsidRPr="00D80698">
              <w:rPr>
                <w:i/>
                <w:iCs/>
              </w:rPr>
              <w:t xml:space="preserve"> Tfn +49-(0) 4638-2109-100 (måndag till fredag ​​från 7:30 till 16:30).</w:t>
            </w:r>
          </w:p>
        </w:tc>
      </w:tr>
      <w:tr w:rsidR="00D031E2" w:rsidRPr="003E67E3" w14:paraId="677C0A8D" w14:textId="77777777" w:rsidTr="007B0372">
        <w:tc>
          <w:tcPr>
            <w:tcW w:w="10456" w:type="dxa"/>
          </w:tcPr>
          <w:p w14:paraId="03EEA9A3" w14:textId="77777777" w:rsidR="00D031E2" w:rsidRPr="00D80698" w:rsidRDefault="00D031E2" w:rsidP="007B0372">
            <w:pPr>
              <w:contextualSpacing/>
              <w:rPr>
                <w:i/>
                <w:iCs/>
                <w:sz w:val="24"/>
                <w:szCs w:val="24"/>
              </w:rPr>
            </w:pPr>
            <w:r w:rsidRPr="00D80698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AVSNITT 2: Farliga egenskaper</w:t>
            </w:r>
          </w:p>
          <w:p w14:paraId="75EE89CF" w14:textId="77777777" w:rsidR="00D031E2" w:rsidRPr="00991606" w:rsidRDefault="00D031E2" w:rsidP="007B0372">
            <w:pPr>
              <w:contextualSpacing/>
              <w:rPr>
                <w:i/>
                <w:iCs/>
              </w:rPr>
            </w:pPr>
            <w:r w:rsidRPr="00991606">
              <w:rPr>
                <w:i/>
                <w:iCs/>
              </w:rPr>
              <w:t>· 2.1 Klassificering av ämnet eller blandningen</w:t>
            </w:r>
          </w:p>
          <w:p w14:paraId="5B29C1DC" w14:textId="77777777" w:rsidR="00D031E2" w:rsidRPr="00991606" w:rsidRDefault="00D031E2" w:rsidP="007B0372">
            <w:pPr>
              <w:contextualSpacing/>
              <w:rPr>
                <w:i/>
                <w:iCs/>
              </w:rPr>
            </w:pPr>
            <w:r w:rsidRPr="00991606">
              <w:rPr>
                <w:i/>
                <w:iCs/>
              </w:rPr>
              <w:t>· Klassificering enligt förordning (EG) nr 1272/2008</w:t>
            </w:r>
          </w:p>
          <w:p w14:paraId="4951F265" w14:textId="02C83B7D" w:rsidR="00D031E2" w:rsidRDefault="00D031E2" w:rsidP="007B0372">
            <w:pPr>
              <w:pBdr>
                <w:bottom w:val="single" w:sz="6" w:space="1" w:color="auto"/>
              </w:pBd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D031E2">
              <w:rPr>
                <w:i/>
                <w:iCs/>
              </w:rPr>
              <w:t>Produkten är inte klassificerad enligt CLP-förordningen.</w:t>
            </w:r>
          </w:p>
          <w:p w14:paraId="3FD13AA7" w14:textId="77777777" w:rsidR="00D031E2" w:rsidRDefault="00D031E2" w:rsidP="007B0372">
            <w:pPr>
              <w:contextualSpacing/>
              <w:rPr>
                <w:i/>
                <w:iCs/>
              </w:rPr>
            </w:pPr>
          </w:p>
          <w:p w14:paraId="75C90664" w14:textId="5EAA60D7" w:rsidR="00D031E2" w:rsidRPr="00991606" w:rsidRDefault="00D031E2" w:rsidP="007B0372">
            <w:pPr>
              <w:contextualSpacing/>
              <w:rPr>
                <w:i/>
                <w:iCs/>
              </w:rPr>
            </w:pPr>
            <w:r w:rsidRPr="00991606">
              <w:rPr>
                <w:i/>
                <w:iCs/>
              </w:rPr>
              <w:t>· 2.2 Etikettelement</w:t>
            </w:r>
          </w:p>
          <w:p w14:paraId="7A6D4FC6" w14:textId="09E1979F" w:rsidR="00D031E2" w:rsidRPr="00D80698" w:rsidRDefault="00D031E2" w:rsidP="007B0372">
            <w:pPr>
              <w:contextualSpacing/>
              <w:rPr>
                <w:i/>
                <w:iCs/>
              </w:rPr>
            </w:pPr>
            <w:r w:rsidRPr="00991606">
              <w:rPr>
                <w:i/>
                <w:iCs/>
              </w:rPr>
              <w:t>· Märkning enligt förordning (EG) nr 1272/2008</w:t>
            </w:r>
            <w:r>
              <w:rPr>
                <w:i/>
                <w:iCs/>
              </w:rPr>
              <w:t>: utelämnat</w:t>
            </w:r>
          </w:p>
          <w:p w14:paraId="4E9A4F2C" w14:textId="5A5C0103" w:rsidR="00D031E2" w:rsidRDefault="00D031E2" w:rsidP="007B0372">
            <w:pPr>
              <w:contextualSpacing/>
              <w:rPr>
                <w:i/>
                <w:iCs/>
              </w:rPr>
            </w:pPr>
            <w:r w:rsidRPr="00D80698">
              <w:rPr>
                <w:i/>
                <w:iCs/>
              </w:rPr>
              <w:t>· Faropiktogram</w:t>
            </w:r>
            <w:r>
              <w:rPr>
                <w:i/>
                <w:iCs/>
              </w:rPr>
              <w:t>: utelämnat</w:t>
            </w:r>
          </w:p>
          <w:p w14:paraId="1B6B0326" w14:textId="5CBF3063" w:rsidR="00D031E2" w:rsidRPr="00D80698" w:rsidRDefault="00D031E2" w:rsidP="007B0372">
            <w:pPr>
              <w:contextualSpacing/>
              <w:rPr>
                <w:i/>
                <w:iCs/>
              </w:rPr>
            </w:pPr>
            <w:r w:rsidRPr="00D80698">
              <w:rPr>
                <w:i/>
                <w:iCs/>
              </w:rPr>
              <w:t xml:space="preserve">· </w:t>
            </w:r>
            <w:proofErr w:type="spellStart"/>
            <w:r w:rsidRPr="00D80698">
              <w:rPr>
                <w:i/>
                <w:iCs/>
              </w:rPr>
              <w:t>Signalord</w:t>
            </w:r>
            <w:proofErr w:type="spellEnd"/>
            <w:r>
              <w:rPr>
                <w:i/>
                <w:iCs/>
              </w:rPr>
              <w:t>:</w:t>
            </w:r>
            <w:r w:rsidRPr="00D8069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utelämnat</w:t>
            </w:r>
          </w:p>
          <w:p w14:paraId="751418E1" w14:textId="24E26EFE" w:rsidR="00D031E2" w:rsidRDefault="00D031E2" w:rsidP="007B0372">
            <w:pPr>
              <w:contextualSpacing/>
              <w:rPr>
                <w:i/>
                <w:iCs/>
              </w:rPr>
            </w:pPr>
            <w:r w:rsidRPr="00D80698">
              <w:rPr>
                <w:i/>
                <w:iCs/>
              </w:rPr>
              <w:t>· Faroangivelser</w:t>
            </w:r>
            <w:r>
              <w:rPr>
                <w:i/>
                <w:iCs/>
              </w:rPr>
              <w:t>: utelämnat</w:t>
            </w:r>
          </w:p>
          <w:p w14:paraId="6692694A" w14:textId="2914DC16" w:rsidR="00D031E2" w:rsidRPr="00E173FA" w:rsidRDefault="00D031E2" w:rsidP="00D031E2">
            <w:pPr>
              <w:contextualSpacing/>
              <w:rPr>
                <w:i/>
                <w:iCs/>
              </w:rPr>
            </w:pPr>
            <w:r w:rsidRPr="00D80698">
              <w:rPr>
                <w:i/>
                <w:iCs/>
              </w:rPr>
              <w:t xml:space="preserve">· </w:t>
            </w:r>
            <w:r>
              <w:rPr>
                <w:i/>
                <w:iCs/>
              </w:rPr>
              <w:t xml:space="preserve">Ytterligare information: utelämnat </w:t>
            </w:r>
          </w:p>
          <w:p w14:paraId="19DE338C" w14:textId="77777777" w:rsidR="00D031E2" w:rsidRPr="00E173FA" w:rsidRDefault="00D031E2" w:rsidP="00D031E2">
            <w:pPr>
              <w:contextualSpacing/>
              <w:rPr>
                <w:i/>
                <w:iCs/>
              </w:rPr>
            </w:pPr>
            <w:r w:rsidRPr="00E173FA">
              <w:rPr>
                <w:i/>
                <w:iCs/>
              </w:rPr>
              <w:t>· 2.3 Andra faror</w:t>
            </w:r>
          </w:p>
          <w:p w14:paraId="7C6C3867" w14:textId="77777777" w:rsidR="00D031E2" w:rsidRDefault="00D031E2" w:rsidP="00D031E2">
            <w:pPr>
              <w:contextualSpacing/>
              <w:rPr>
                <w:i/>
                <w:iCs/>
              </w:rPr>
            </w:pPr>
            <w:r w:rsidRPr="00E173FA">
              <w:rPr>
                <w:i/>
                <w:iCs/>
              </w:rPr>
              <w:t xml:space="preserve">· Resultat av PBT- och </w:t>
            </w:r>
            <w:proofErr w:type="spellStart"/>
            <w:r w:rsidRPr="00E173FA">
              <w:rPr>
                <w:i/>
                <w:iCs/>
              </w:rPr>
              <w:t>vPvB</w:t>
            </w:r>
            <w:proofErr w:type="spellEnd"/>
            <w:r w:rsidRPr="00E173FA">
              <w:rPr>
                <w:i/>
                <w:iCs/>
              </w:rPr>
              <w:t>-bedömning</w:t>
            </w:r>
          </w:p>
          <w:p w14:paraId="5EBCD09C" w14:textId="77777777" w:rsidR="00D031E2" w:rsidRPr="00E173FA" w:rsidRDefault="00D031E2" w:rsidP="00D031E2">
            <w:pPr>
              <w:contextualSpacing/>
              <w:rPr>
                <w:i/>
                <w:iCs/>
              </w:rPr>
            </w:pPr>
            <w:r w:rsidRPr="00E173FA">
              <w:rPr>
                <w:i/>
                <w:iCs/>
              </w:rPr>
              <w:t>· PBT:</w:t>
            </w:r>
            <w:r>
              <w:rPr>
                <w:i/>
                <w:iCs/>
              </w:rPr>
              <w:t xml:space="preserve"> </w:t>
            </w:r>
            <w:r w:rsidRPr="00E173FA">
              <w:rPr>
                <w:i/>
                <w:iCs/>
              </w:rPr>
              <w:t>Blandningen innehåller inget PBT-ämne (PBT = persistent, bioackumulerande, giftigt) eller uppfyller inte</w:t>
            </w:r>
          </w:p>
          <w:p w14:paraId="0C9BE0FE" w14:textId="77777777" w:rsidR="00D031E2" w:rsidRDefault="00D031E2" w:rsidP="00D031E2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k</w:t>
            </w:r>
            <w:r w:rsidRPr="00E173FA">
              <w:rPr>
                <w:i/>
                <w:iCs/>
              </w:rPr>
              <w:t>riterier för PBT enligt bilaga XIII till förordning (EG) 1907/2006 (&lt; 0,1%).</w:t>
            </w:r>
          </w:p>
          <w:p w14:paraId="53132E77" w14:textId="77777777" w:rsidR="00D031E2" w:rsidRDefault="00D031E2" w:rsidP="00D031E2">
            <w:pPr>
              <w:contextualSpacing/>
              <w:rPr>
                <w:i/>
                <w:iCs/>
              </w:rPr>
            </w:pPr>
            <w:r w:rsidRPr="00E173FA">
              <w:rPr>
                <w:i/>
                <w:iCs/>
              </w:rPr>
              <w:t xml:space="preserve">· </w:t>
            </w:r>
            <w:proofErr w:type="spellStart"/>
            <w:r w:rsidRPr="00E173FA">
              <w:rPr>
                <w:i/>
                <w:iCs/>
              </w:rPr>
              <w:t>vPvB</w:t>
            </w:r>
            <w:proofErr w:type="spellEnd"/>
            <w:r w:rsidRPr="00E173FA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E173FA">
              <w:rPr>
                <w:i/>
                <w:iCs/>
              </w:rPr>
              <w:t xml:space="preserve">Blandningen innehåller inget </w:t>
            </w:r>
            <w:proofErr w:type="spellStart"/>
            <w:r w:rsidRPr="00E173FA">
              <w:rPr>
                <w:i/>
                <w:iCs/>
              </w:rPr>
              <w:t>vPvB</w:t>
            </w:r>
            <w:proofErr w:type="spellEnd"/>
            <w:r w:rsidRPr="00E173FA">
              <w:rPr>
                <w:i/>
                <w:iCs/>
              </w:rPr>
              <w:t>-ämne (</w:t>
            </w:r>
            <w:proofErr w:type="spellStart"/>
            <w:r w:rsidRPr="00E173FA">
              <w:rPr>
                <w:i/>
                <w:iCs/>
              </w:rPr>
              <w:t>vPvB</w:t>
            </w:r>
            <w:proofErr w:type="spellEnd"/>
            <w:r w:rsidRPr="00E173FA">
              <w:rPr>
                <w:i/>
                <w:iCs/>
              </w:rPr>
              <w:t xml:space="preserve"> = mycket persistent, mycket bioackumulerande) eller </w:t>
            </w:r>
            <w:r>
              <w:rPr>
                <w:i/>
                <w:iCs/>
              </w:rPr>
              <w:t xml:space="preserve">      </w:t>
            </w:r>
          </w:p>
          <w:p w14:paraId="07231227" w14:textId="5BAF8F07" w:rsidR="00D031E2" w:rsidRPr="005F471D" w:rsidRDefault="00D031E2" w:rsidP="007B0372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uppfyller</w:t>
            </w:r>
            <w:r w:rsidRPr="00E173FA">
              <w:rPr>
                <w:i/>
                <w:iCs/>
              </w:rPr>
              <w:t xml:space="preserve"> inte</w:t>
            </w:r>
            <w:r>
              <w:rPr>
                <w:i/>
                <w:iCs/>
              </w:rPr>
              <w:t xml:space="preserve"> k</w:t>
            </w:r>
            <w:r w:rsidRPr="00E173FA">
              <w:rPr>
                <w:i/>
                <w:iCs/>
              </w:rPr>
              <w:t xml:space="preserve">riterier för </w:t>
            </w:r>
            <w:proofErr w:type="spellStart"/>
            <w:r w:rsidRPr="00E173FA">
              <w:rPr>
                <w:i/>
                <w:iCs/>
              </w:rPr>
              <w:t>vPvB</w:t>
            </w:r>
            <w:proofErr w:type="spellEnd"/>
            <w:r w:rsidRPr="00E173FA">
              <w:rPr>
                <w:i/>
                <w:iCs/>
              </w:rPr>
              <w:t xml:space="preserve"> enligt bilaga XIII till förordning (EG) 1907/2006 (&lt; 0,1%).</w:t>
            </w:r>
          </w:p>
        </w:tc>
      </w:tr>
      <w:tr w:rsidR="00D031E2" w:rsidRPr="003E67E3" w14:paraId="7B71F812" w14:textId="77777777" w:rsidTr="007B0372">
        <w:tc>
          <w:tcPr>
            <w:tcW w:w="10456" w:type="dxa"/>
          </w:tcPr>
          <w:p w14:paraId="07390D06" w14:textId="77777777" w:rsidR="005F471D" w:rsidRDefault="005F471D" w:rsidP="005F471D">
            <w:pPr>
              <w:contextualSpacing/>
            </w:pPr>
            <w:r w:rsidRPr="00E173FA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AVSNITT 3: Sammansättning/information om beståndsdelar</w:t>
            </w:r>
          </w:p>
          <w:p w14:paraId="32B54817" w14:textId="77777777" w:rsidR="005F471D" w:rsidRPr="00E173FA" w:rsidRDefault="005F471D" w:rsidP="005F471D">
            <w:pPr>
              <w:contextualSpacing/>
              <w:rPr>
                <w:i/>
                <w:iCs/>
              </w:rPr>
            </w:pPr>
            <w:r w:rsidRPr="00E173FA">
              <w:rPr>
                <w:i/>
                <w:iCs/>
              </w:rPr>
              <w:t>· 3.2 Blandningar</w:t>
            </w:r>
          </w:p>
          <w:p w14:paraId="6F9B7AEF" w14:textId="4CE6B18B" w:rsidR="005F471D" w:rsidRDefault="005F471D" w:rsidP="005F471D">
            <w:pPr>
              <w:contextualSpacing/>
              <w:rPr>
                <w:i/>
                <w:iCs/>
              </w:rPr>
            </w:pPr>
            <w:r w:rsidRPr="00E173FA">
              <w:rPr>
                <w:i/>
                <w:iCs/>
              </w:rPr>
              <w:t>· Beskrivning: Rengöringsmedel</w:t>
            </w:r>
          </w:p>
          <w:p w14:paraId="49360DEB" w14:textId="1C62BCBD" w:rsidR="005F471D" w:rsidRDefault="005F471D" w:rsidP="005F471D">
            <w:pPr>
              <w:contextualSpacing/>
              <w:rPr>
                <w:i/>
                <w:iCs/>
              </w:rPr>
            </w:pPr>
            <w:r w:rsidRPr="005F471D">
              <w:rPr>
                <w:i/>
                <w:iCs/>
              </w:rPr>
              <w:t>· Farliga ingredienser:</w:t>
            </w:r>
            <w:r>
              <w:rPr>
                <w:i/>
                <w:iCs/>
              </w:rPr>
              <w:t xml:space="preserve"> utelämnat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5F471D" w14:paraId="2368BAF9" w14:textId="77777777" w:rsidTr="005F471D">
              <w:tc>
                <w:tcPr>
                  <w:tcW w:w="10230" w:type="dxa"/>
                </w:tcPr>
                <w:p w14:paraId="528DC26D" w14:textId="5223B399" w:rsidR="005F471D" w:rsidRDefault="005F471D" w:rsidP="005F471D">
                  <w:pPr>
                    <w:contextualSpacing/>
                    <w:rPr>
                      <w:i/>
                      <w:iCs/>
                    </w:rPr>
                  </w:pPr>
                  <w:r w:rsidRPr="00BD1D9A">
                    <w:rPr>
                      <w:i/>
                      <w:iCs/>
                    </w:rPr>
                    <w:t>· Förordning (EG) nr 648/2004 om rengöringsmedel / märkning av ingredienser</w:t>
                  </w:r>
                </w:p>
              </w:tc>
            </w:tr>
            <w:tr w:rsidR="005F471D" w14:paraId="4F06103A" w14:textId="77777777" w:rsidTr="005F471D">
              <w:tc>
                <w:tcPr>
                  <w:tcW w:w="10230" w:type="dxa"/>
                </w:tcPr>
                <w:p w14:paraId="03D9A11A" w14:textId="64AF2369" w:rsidR="005F471D" w:rsidRDefault="005F471D" w:rsidP="005F471D">
                  <w:pPr>
                    <w:contextualSpacing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 Dofter</w:t>
                  </w:r>
                </w:p>
              </w:tc>
            </w:tr>
          </w:tbl>
          <w:p w14:paraId="673871C8" w14:textId="19F78F7C" w:rsidR="00D031E2" w:rsidRPr="00D80698" w:rsidRDefault="005F471D" w:rsidP="007B0372">
            <w:pPr>
              <w:contextualSpacing/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D80698">
              <w:rPr>
                <w:i/>
                <w:iCs/>
              </w:rPr>
              <w:t>(fortsättning på sida 2)</w:t>
            </w:r>
          </w:p>
        </w:tc>
      </w:tr>
    </w:tbl>
    <w:p w14:paraId="164D0057" w14:textId="77777777" w:rsidR="005F471D" w:rsidRDefault="005F471D" w:rsidP="005F471D">
      <w:pPr>
        <w:contextualSpacing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223A114D" w14:textId="77777777" w:rsidR="005F471D" w:rsidRDefault="005F471D" w:rsidP="005F471D">
      <w:pPr>
        <w:contextualSpacing/>
        <w:rPr>
          <w:i/>
          <w:iCs/>
        </w:rPr>
      </w:pPr>
    </w:p>
    <w:p w14:paraId="7C26AC87" w14:textId="77777777" w:rsidR="005F471D" w:rsidRDefault="005F471D" w:rsidP="005F471D">
      <w:pPr>
        <w:contextualSpacing/>
        <w:rPr>
          <w:i/>
          <w:iCs/>
        </w:rPr>
      </w:pPr>
    </w:p>
    <w:p w14:paraId="402CBEAB" w14:textId="77777777" w:rsidR="005F471D" w:rsidRDefault="005F471D" w:rsidP="005F471D">
      <w:pPr>
        <w:contextualSpacing/>
        <w:rPr>
          <w:i/>
          <w:iCs/>
        </w:rPr>
      </w:pPr>
    </w:p>
    <w:p w14:paraId="5BB6CFF8" w14:textId="77777777" w:rsidR="005F471D" w:rsidRDefault="005F471D" w:rsidP="005F471D">
      <w:pPr>
        <w:contextualSpacing/>
        <w:rPr>
          <w:i/>
          <w:iCs/>
        </w:rPr>
      </w:pPr>
    </w:p>
    <w:p w14:paraId="7F73516E" w14:textId="347D3340" w:rsidR="005F471D" w:rsidRPr="005523F8" w:rsidRDefault="005F471D" w:rsidP="005F471D">
      <w:pPr>
        <w:contextualSpacing/>
        <w:rPr>
          <w:i/>
          <w:iCs/>
        </w:rPr>
      </w:pPr>
      <w:r>
        <w:rPr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5523F8">
        <w:rPr>
          <w:i/>
          <w:iCs/>
        </w:rPr>
        <w:t xml:space="preserve">Sid </w:t>
      </w:r>
      <w:r w:rsidR="0092115D">
        <w:rPr>
          <w:i/>
          <w:iCs/>
        </w:rPr>
        <w:t>2</w:t>
      </w:r>
      <w:r w:rsidRPr="005523F8">
        <w:rPr>
          <w:i/>
          <w:iCs/>
        </w:rPr>
        <w:t>/</w:t>
      </w:r>
      <w:r>
        <w:rPr>
          <w:i/>
          <w:iCs/>
        </w:rPr>
        <w:t>7</w:t>
      </w:r>
    </w:p>
    <w:p w14:paraId="0607E831" w14:textId="77777777" w:rsidR="005F471D" w:rsidRPr="00ED34AA" w:rsidRDefault="005F471D" w:rsidP="005F471D">
      <w:pPr>
        <w:contextualSpacing/>
        <w:jc w:val="center"/>
        <w:rPr>
          <w:i/>
          <w:iCs/>
          <w:sz w:val="28"/>
          <w:szCs w:val="28"/>
        </w:rPr>
      </w:pPr>
      <w:r w:rsidRPr="00ED34AA">
        <w:rPr>
          <w:i/>
          <w:iCs/>
          <w:sz w:val="28"/>
          <w:szCs w:val="28"/>
        </w:rPr>
        <w:t>Säkerhetsdatablad</w:t>
      </w:r>
    </w:p>
    <w:p w14:paraId="786363C2" w14:textId="77777777" w:rsidR="005F471D" w:rsidRDefault="005F471D" w:rsidP="005F471D">
      <w:pPr>
        <w:contextualSpacing/>
        <w:jc w:val="center"/>
        <w:rPr>
          <w:i/>
          <w:iCs/>
          <w:sz w:val="24"/>
          <w:szCs w:val="24"/>
        </w:rPr>
      </w:pPr>
      <w:r w:rsidRPr="00D67CF0">
        <w:rPr>
          <w:i/>
          <w:iCs/>
          <w:sz w:val="24"/>
          <w:szCs w:val="24"/>
        </w:rPr>
        <w:t>enligt 1907/2006/EG, Artikel 31</w:t>
      </w:r>
    </w:p>
    <w:p w14:paraId="17F70004" w14:textId="77777777" w:rsidR="005F471D" w:rsidRDefault="005F471D" w:rsidP="005F471D">
      <w:pPr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4553A6">
        <w:rPr>
          <w:i/>
          <w:iCs/>
          <w:sz w:val="24"/>
          <w:szCs w:val="24"/>
        </w:rPr>
        <w:t>Utskriftsdatum: 2019-0</w:t>
      </w:r>
      <w:r>
        <w:rPr>
          <w:i/>
          <w:iCs/>
          <w:sz w:val="24"/>
          <w:szCs w:val="24"/>
        </w:rPr>
        <w:t>6</w:t>
      </w:r>
      <w:r w:rsidRPr="004553A6">
        <w:rPr>
          <w:i/>
          <w:iCs/>
          <w:sz w:val="24"/>
          <w:szCs w:val="24"/>
        </w:rPr>
        <w:t>-0</w:t>
      </w:r>
      <w:r>
        <w:rPr>
          <w:i/>
          <w:iCs/>
          <w:sz w:val="24"/>
          <w:szCs w:val="24"/>
        </w:rPr>
        <w:t>3</w:t>
      </w:r>
      <w:r w:rsidRPr="004553A6">
        <w:rPr>
          <w:i/>
          <w:iCs/>
          <w:sz w:val="24"/>
          <w:szCs w:val="24"/>
        </w:rPr>
        <w:t xml:space="preserve"> </w:t>
      </w:r>
      <w:r w:rsidRPr="004553A6">
        <w:rPr>
          <w:i/>
          <w:iCs/>
          <w:sz w:val="24"/>
          <w:szCs w:val="24"/>
        </w:rPr>
        <w:tab/>
        <w:t xml:space="preserve">    Version nummer 1                                        Reviderad: 2019-0</w:t>
      </w:r>
      <w:r>
        <w:rPr>
          <w:i/>
          <w:iCs/>
          <w:sz w:val="24"/>
          <w:szCs w:val="24"/>
        </w:rPr>
        <w:t>6</w:t>
      </w:r>
      <w:r w:rsidRPr="004553A6">
        <w:rPr>
          <w:i/>
          <w:iCs/>
          <w:sz w:val="24"/>
          <w:szCs w:val="24"/>
        </w:rPr>
        <w:t>-0</w:t>
      </w:r>
      <w:r>
        <w:rPr>
          <w:i/>
          <w:iCs/>
          <w:sz w:val="24"/>
          <w:szCs w:val="24"/>
        </w:rPr>
        <w:t>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471D" w14:paraId="6A4BA233" w14:textId="77777777" w:rsidTr="005F471D">
        <w:tc>
          <w:tcPr>
            <w:tcW w:w="10456" w:type="dxa"/>
          </w:tcPr>
          <w:p w14:paraId="6C6B453A" w14:textId="3B1CF4D5" w:rsidR="005F471D" w:rsidRDefault="005F471D">
            <w:r w:rsidRPr="003E67E3">
              <w:rPr>
                <w:rFonts w:cstheme="minorHAnsi"/>
                <w:i/>
                <w:iCs/>
              </w:rPr>
              <w:t xml:space="preserve">Handelsnamn: </w:t>
            </w:r>
            <w:r w:rsidRPr="004F1E75">
              <w:rPr>
                <w:rFonts w:cstheme="minorHAnsi"/>
                <w:i/>
                <w:iCs/>
              </w:rPr>
              <w:t xml:space="preserve">Trixie </w:t>
            </w:r>
            <w:r>
              <w:rPr>
                <w:rFonts w:cstheme="minorHAnsi"/>
                <w:i/>
                <w:iCs/>
              </w:rPr>
              <w:t>Torrschampo</w:t>
            </w:r>
          </w:p>
        </w:tc>
      </w:tr>
      <w:tr w:rsidR="005F471D" w14:paraId="2C419A81" w14:textId="77777777" w:rsidTr="005F471D">
        <w:tc>
          <w:tcPr>
            <w:tcW w:w="10456" w:type="dxa"/>
          </w:tcPr>
          <w:p w14:paraId="6A86522A" w14:textId="77777777" w:rsidR="005F471D" w:rsidRPr="00E173FA" w:rsidRDefault="005F471D" w:rsidP="005F471D">
            <w:pPr>
              <w:contextualSpacing/>
              <w:rPr>
                <w:i/>
                <w:iCs/>
              </w:rPr>
            </w:pPr>
            <w:r w:rsidRPr="00E173FA">
              <w:rPr>
                <w:i/>
                <w:iCs/>
              </w:rPr>
              <w:t xml:space="preserve">                                                       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</w:t>
            </w:r>
            <w:r w:rsidRPr="00E173FA">
              <w:rPr>
                <w:i/>
                <w:iCs/>
              </w:rPr>
              <w:t xml:space="preserve"> (fortsättning från sida 1)</w:t>
            </w:r>
          </w:p>
          <w:p w14:paraId="729A8086" w14:textId="1D2E1AE3" w:rsidR="005F471D" w:rsidRDefault="005F471D">
            <w:r w:rsidRPr="00793AC2">
              <w:rPr>
                <w:i/>
                <w:iCs/>
              </w:rPr>
              <w:t>· Ytterligare information: För ordalydelsen av de angivna riskfraserna, se avsnitt 16.</w:t>
            </w:r>
          </w:p>
        </w:tc>
      </w:tr>
      <w:tr w:rsidR="005F471D" w14:paraId="4D8211DC" w14:textId="77777777" w:rsidTr="005F471D">
        <w:tc>
          <w:tcPr>
            <w:tcW w:w="10456" w:type="dxa"/>
          </w:tcPr>
          <w:p w14:paraId="5516849C" w14:textId="77777777" w:rsidR="0092115D" w:rsidRPr="00793AC2" w:rsidRDefault="0092115D" w:rsidP="0092115D">
            <w:pPr>
              <w:contextualSpacing/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</w:pPr>
            <w:r w:rsidRPr="00793AC2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AVSNITT 4: Åtgärder vid första hjälpen</w:t>
            </w:r>
          </w:p>
          <w:p w14:paraId="5BEA2B83" w14:textId="77777777" w:rsidR="0092115D" w:rsidRPr="00793AC2" w:rsidRDefault="0092115D" w:rsidP="0092115D">
            <w:pPr>
              <w:contextualSpacing/>
              <w:rPr>
                <w:i/>
                <w:iCs/>
              </w:rPr>
            </w:pPr>
            <w:r w:rsidRPr="00793AC2">
              <w:rPr>
                <w:i/>
                <w:iCs/>
              </w:rPr>
              <w:t>· 4.1 Beskrivning av åtgärder vid första hjälpen</w:t>
            </w:r>
            <w:r>
              <w:rPr>
                <w:i/>
                <w:iCs/>
              </w:rPr>
              <w:t>:</w:t>
            </w:r>
          </w:p>
          <w:p w14:paraId="41942E6F" w14:textId="77777777" w:rsidR="0092115D" w:rsidRPr="00793AC2" w:rsidRDefault="0092115D" w:rsidP="0092115D">
            <w:pPr>
              <w:contextualSpacing/>
              <w:rPr>
                <w:i/>
                <w:iCs/>
              </w:rPr>
            </w:pPr>
            <w:r w:rsidRPr="00793AC2">
              <w:rPr>
                <w:i/>
                <w:iCs/>
              </w:rPr>
              <w:t>· Allmänna anvisningar: Kontakta läkare om symtomen kvarstår.</w:t>
            </w:r>
          </w:p>
          <w:p w14:paraId="6CC63D1A" w14:textId="77777777" w:rsidR="0092115D" w:rsidRPr="00793AC2" w:rsidRDefault="0092115D" w:rsidP="0092115D">
            <w:pPr>
              <w:contextualSpacing/>
              <w:rPr>
                <w:i/>
                <w:iCs/>
              </w:rPr>
            </w:pPr>
            <w:r w:rsidRPr="00793AC2">
              <w:rPr>
                <w:i/>
                <w:iCs/>
              </w:rPr>
              <w:t>· Efter inandning: Tillför frisk</w:t>
            </w:r>
            <w:r>
              <w:rPr>
                <w:i/>
                <w:iCs/>
              </w:rPr>
              <w:t xml:space="preserve"> </w:t>
            </w:r>
            <w:r w:rsidRPr="00793AC2">
              <w:rPr>
                <w:i/>
                <w:iCs/>
              </w:rPr>
              <w:t>luft, kontakta läkare vid besvär.</w:t>
            </w:r>
          </w:p>
          <w:p w14:paraId="0C22F40D" w14:textId="38C33037" w:rsidR="0092115D" w:rsidRPr="00793AC2" w:rsidRDefault="0092115D" w:rsidP="0092115D">
            <w:pPr>
              <w:contextualSpacing/>
              <w:rPr>
                <w:i/>
                <w:iCs/>
              </w:rPr>
            </w:pPr>
            <w:r w:rsidRPr="00793AC2">
              <w:rPr>
                <w:i/>
                <w:iCs/>
              </w:rPr>
              <w:t>· Efter hudkontakt: Tvätta omedelbart med tvål och vatten och skölj noggrant.</w:t>
            </w:r>
            <w:r>
              <w:rPr>
                <w:i/>
                <w:iCs/>
              </w:rPr>
              <w:t xml:space="preserve"> </w:t>
            </w:r>
            <w:r w:rsidRPr="0092115D">
              <w:rPr>
                <w:i/>
                <w:iCs/>
              </w:rPr>
              <w:t>Kontakta läkare om hudirritation kvarstår.</w:t>
            </w:r>
          </w:p>
          <w:p w14:paraId="33F955E3" w14:textId="77777777" w:rsidR="0092115D" w:rsidRDefault="0092115D" w:rsidP="0092115D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793AC2">
              <w:rPr>
                <w:i/>
                <w:iCs/>
              </w:rPr>
              <w:t>Efter ögonkontakt:</w:t>
            </w:r>
            <w:r>
              <w:rPr>
                <w:i/>
                <w:iCs/>
              </w:rPr>
              <w:t xml:space="preserve"> </w:t>
            </w:r>
            <w:r w:rsidRPr="00793AC2">
              <w:rPr>
                <w:i/>
                <w:iCs/>
              </w:rPr>
              <w:t>Skölj öppet ögonlock i flera minuter under rinnande vatten. Vid ihållande</w:t>
            </w:r>
            <w:r>
              <w:rPr>
                <w:i/>
                <w:iCs/>
              </w:rPr>
              <w:t xml:space="preserve"> problem,</w:t>
            </w:r>
            <w:r w:rsidRPr="00793AC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k</w:t>
            </w:r>
            <w:r w:rsidRPr="00793AC2">
              <w:rPr>
                <w:i/>
                <w:iCs/>
              </w:rPr>
              <w:t>ontakta</w:t>
            </w:r>
            <w:r>
              <w:rPr>
                <w:i/>
                <w:iCs/>
              </w:rPr>
              <w:t xml:space="preserve">     </w:t>
            </w:r>
          </w:p>
          <w:p w14:paraId="7F60C405" w14:textId="77777777" w:rsidR="0092115D" w:rsidRPr="00793AC2" w:rsidRDefault="0092115D" w:rsidP="0092115D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läkare.</w:t>
            </w:r>
          </w:p>
          <w:p w14:paraId="3E4CFCDC" w14:textId="331D887F" w:rsidR="0092115D" w:rsidRDefault="0092115D" w:rsidP="0092115D">
            <w:pPr>
              <w:contextualSpacing/>
              <w:rPr>
                <w:i/>
                <w:iCs/>
              </w:rPr>
            </w:pPr>
            <w:r w:rsidRPr="00793AC2">
              <w:rPr>
                <w:i/>
                <w:iCs/>
              </w:rPr>
              <w:t>· Efter förtäring:</w:t>
            </w:r>
            <w:r>
              <w:rPr>
                <w:i/>
                <w:iCs/>
              </w:rPr>
              <w:t xml:space="preserve"> </w:t>
            </w:r>
            <w:r w:rsidRPr="00793AC2">
              <w:rPr>
                <w:i/>
                <w:iCs/>
              </w:rPr>
              <w:t>Skölj munnen.</w:t>
            </w:r>
            <w:r>
              <w:rPr>
                <w:i/>
                <w:iCs/>
              </w:rPr>
              <w:t xml:space="preserve"> </w:t>
            </w:r>
            <w:r w:rsidRPr="00793AC2">
              <w:rPr>
                <w:i/>
                <w:iCs/>
              </w:rPr>
              <w:t>Om symtomen kvarstår, kontakta läkare.</w:t>
            </w:r>
          </w:p>
          <w:p w14:paraId="0D9A84C6" w14:textId="64BFD69C" w:rsidR="0092115D" w:rsidRDefault="0092115D" w:rsidP="0092115D">
            <w:pPr>
              <w:rPr>
                <w:i/>
                <w:iCs/>
              </w:rPr>
            </w:pPr>
            <w:r w:rsidRPr="00225253">
              <w:rPr>
                <w:i/>
                <w:iCs/>
              </w:rPr>
              <w:t>· 4.2 De viktigaste symptomen och effekterna, både akuta och fördröjda</w:t>
            </w:r>
            <w:r>
              <w:rPr>
                <w:i/>
                <w:iCs/>
              </w:rPr>
              <w:t>: Hosta</w:t>
            </w:r>
          </w:p>
          <w:p w14:paraId="7BE44983" w14:textId="77777777" w:rsidR="0092115D" w:rsidRPr="00225253" w:rsidRDefault="0092115D" w:rsidP="0092115D">
            <w:pPr>
              <w:rPr>
                <w:i/>
                <w:iCs/>
              </w:rPr>
            </w:pPr>
            <w:r w:rsidRPr="00225253">
              <w:rPr>
                <w:i/>
                <w:iCs/>
              </w:rPr>
              <w:t xml:space="preserve">· 4.3 </w:t>
            </w:r>
            <w:r w:rsidRPr="00F7232A">
              <w:rPr>
                <w:i/>
                <w:iCs/>
              </w:rPr>
              <w:t>Indikationer på omedelbar medicinsk behandling eller särskild behandling</w:t>
            </w:r>
            <w:r>
              <w:rPr>
                <w:i/>
                <w:iCs/>
              </w:rPr>
              <w:t>.</w:t>
            </w:r>
          </w:p>
          <w:p w14:paraId="6BD10A39" w14:textId="7FE51F85" w:rsidR="005F471D" w:rsidRDefault="0092115D" w:rsidP="0092115D">
            <w:r>
              <w:rPr>
                <w:i/>
                <w:iCs/>
              </w:rPr>
              <w:t xml:space="preserve">  </w:t>
            </w:r>
            <w:r w:rsidRPr="00225253">
              <w:rPr>
                <w:i/>
                <w:iCs/>
              </w:rPr>
              <w:t>Ingen ytterligare relevant information tillgänglig.</w:t>
            </w:r>
          </w:p>
        </w:tc>
      </w:tr>
      <w:tr w:rsidR="0092115D" w14:paraId="59C34207" w14:textId="77777777" w:rsidTr="005F471D">
        <w:tc>
          <w:tcPr>
            <w:tcW w:w="10456" w:type="dxa"/>
          </w:tcPr>
          <w:p w14:paraId="54AAC9F6" w14:textId="77777777" w:rsidR="0092115D" w:rsidRPr="006B7437" w:rsidRDefault="0092115D" w:rsidP="0092115D">
            <w:pPr>
              <w:contextualSpacing/>
              <w:rPr>
                <w:i/>
                <w:iCs/>
              </w:rPr>
            </w:pPr>
            <w:r w:rsidRPr="00E173FA">
              <w:rPr>
                <w:i/>
                <w:iCs/>
              </w:rPr>
              <w:t xml:space="preserve">                                                       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</w:t>
            </w:r>
            <w:r w:rsidRPr="00E173FA">
              <w:rPr>
                <w:i/>
                <w:iCs/>
              </w:rPr>
              <w:t xml:space="preserve"> (fortsättning från sida </w:t>
            </w:r>
            <w:r>
              <w:rPr>
                <w:i/>
                <w:iCs/>
              </w:rPr>
              <w:t>2</w:t>
            </w:r>
            <w:r w:rsidRPr="00E173FA">
              <w:rPr>
                <w:i/>
                <w:iCs/>
              </w:rPr>
              <w:t>)</w:t>
            </w:r>
          </w:p>
          <w:p w14:paraId="3712B550" w14:textId="77777777" w:rsidR="0092115D" w:rsidRPr="00225253" w:rsidRDefault="0092115D" w:rsidP="0092115D">
            <w:pPr>
              <w:contextualSpacing/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</w:pPr>
            <w:r w:rsidRPr="00225253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AVSNITT 5: Brandbekämpningsåtgärder</w:t>
            </w:r>
          </w:p>
          <w:p w14:paraId="63C29AD2" w14:textId="77777777" w:rsidR="0092115D" w:rsidRPr="00225253" w:rsidRDefault="0092115D" w:rsidP="0092115D">
            <w:pPr>
              <w:rPr>
                <w:i/>
                <w:iCs/>
              </w:rPr>
            </w:pPr>
            <w:r w:rsidRPr="00225253">
              <w:rPr>
                <w:i/>
                <w:iCs/>
              </w:rPr>
              <w:t>· 5.1 Släckmedel</w:t>
            </w:r>
          </w:p>
          <w:p w14:paraId="0C7C4930" w14:textId="77777777" w:rsidR="0092115D" w:rsidRDefault="0092115D" w:rsidP="0092115D">
            <w:pPr>
              <w:rPr>
                <w:i/>
                <w:iCs/>
              </w:rPr>
            </w:pPr>
            <w:r w:rsidRPr="00225253">
              <w:rPr>
                <w:i/>
                <w:iCs/>
              </w:rPr>
              <w:t>· Lämpliga släckningsmedel</w:t>
            </w:r>
            <w:r>
              <w:rPr>
                <w:i/>
                <w:iCs/>
              </w:rPr>
              <w:t>:</w:t>
            </w:r>
            <w:r w:rsidRPr="00225253">
              <w:rPr>
                <w:i/>
                <w:iCs/>
              </w:rPr>
              <w:t xml:space="preserve"> </w:t>
            </w:r>
          </w:p>
          <w:p w14:paraId="7A10626A" w14:textId="6A9C949C" w:rsidR="0092115D" w:rsidRPr="0092115D" w:rsidRDefault="0092115D" w:rsidP="0092115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92115D">
              <w:rPr>
                <w:i/>
                <w:iCs/>
              </w:rPr>
              <w:t>CO2, släckningspulver eller vattenspraystråle. Bekämpa större bränder med vattenspray</w:t>
            </w:r>
            <w:r>
              <w:rPr>
                <w:i/>
                <w:iCs/>
              </w:rPr>
              <w:t>stråle</w:t>
            </w:r>
            <w:r w:rsidRPr="0092115D">
              <w:rPr>
                <w:i/>
                <w:iCs/>
              </w:rPr>
              <w:t>.</w:t>
            </w:r>
          </w:p>
          <w:p w14:paraId="3BBA658C" w14:textId="164CC8E6" w:rsidR="0092115D" w:rsidRPr="00225253" w:rsidRDefault="0092115D" w:rsidP="0092115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92115D">
              <w:rPr>
                <w:i/>
                <w:iCs/>
              </w:rPr>
              <w:t>Anpassa brandsläckningsåtgärderna till miljön.</w:t>
            </w:r>
          </w:p>
          <w:p w14:paraId="78D67DFA" w14:textId="77777777" w:rsidR="0092115D" w:rsidRPr="00225253" w:rsidRDefault="0092115D" w:rsidP="0092115D">
            <w:pPr>
              <w:rPr>
                <w:i/>
                <w:iCs/>
              </w:rPr>
            </w:pPr>
            <w:r w:rsidRPr="00225253">
              <w:rPr>
                <w:i/>
                <w:iCs/>
              </w:rPr>
              <w:t>· Olämpliga släckningsmedel av säkerhetsskäl: Full vattenstråle</w:t>
            </w:r>
            <w:r>
              <w:rPr>
                <w:i/>
                <w:iCs/>
              </w:rPr>
              <w:t>.</w:t>
            </w:r>
          </w:p>
          <w:p w14:paraId="0DA94B16" w14:textId="6BD8874A" w:rsidR="0092115D" w:rsidRDefault="0092115D" w:rsidP="0092115D">
            <w:pPr>
              <w:rPr>
                <w:i/>
                <w:iCs/>
              </w:rPr>
            </w:pPr>
            <w:r w:rsidRPr="00225253">
              <w:rPr>
                <w:i/>
                <w:iCs/>
              </w:rPr>
              <w:t>· 5.2 Särskilda faror som ämnet eller blandningen kan medföra</w:t>
            </w:r>
            <w:r>
              <w:rPr>
                <w:i/>
                <w:iCs/>
              </w:rPr>
              <w:t>:</w:t>
            </w:r>
          </w:p>
          <w:p w14:paraId="6CCB0CCE" w14:textId="3BE19984" w:rsidR="0092115D" w:rsidRPr="00225253" w:rsidRDefault="0092115D" w:rsidP="0092115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92115D">
              <w:rPr>
                <w:i/>
                <w:iCs/>
              </w:rPr>
              <w:t>Produkten är inte brännbar.</w:t>
            </w:r>
          </w:p>
          <w:p w14:paraId="32B23DDF" w14:textId="77777777" w:rsidR="0092115D" w:rsidRPr="00225253" w:rsidRDefault="0092115D" w:rsidP="0092115D">
            <w:pPr>
              <w:rPr>
                <w:i/>
                <w:iCs/>
              </w:rPr>
            </w:pPr>
            <w:r w:rsidRPr="00225253">
              <w:rPr>
                <w:i/>
                <w:iCs/>
              </w:rPr>
              <w:t>· 5.3 Råd till brandmän</w:t>
            </w:r>
            <w:r>
              <w:rPr>
                <w:i/>
                <w:iCs/>
              </w:rPr>
              <w:t>:</w:t>
            </w:r>
          </w:p>
          <w:p w14:paraId="7AFC544C" w14:textId="77777777" w:rsidR="0092115D" w:rsidRPr="00225253" w:rsidRDefault="0092115D" w:rsidP="0092115D">
            <w:pPr>
              <w:rPr>
                <w:i/>
                <w:iCs/>
              </w:rPr>
            </w:pPr>
            <w:r w:rsidRPr="00225253">
              <w:rPr>
                <w:i/>
                <w:iCs/>
              </w:rPr>
              <w:t>· Särskild skyddsutrustning:</w:t>
            </w:r>
          </w:p>
          <w:p w14:paraId="3D3AE1F8" w14:textId="7292C51F" w:rsidR="0092115D" w:rsidRPr="00225253" w:rsidRDefault="0092115D" w:rsidP="0092115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225253">
              <w:rPr>
                <w:i/>
                <w:iCs/>
              </w:rPr>
              <w:t>Andas inte in explosions- och brandgaser.</w:t>
            </w:r>
            <w:r>
              <w:rPr>
                <w:i/>
                <w:iCs/>
              </w:rPr>
              <w:t xml:space="preserve"> Bär</w:t>
            </w:r>
            <w:r w:rsidRPr="00225253">
              <w:rPr>
                <w:i/>
                <w:iCs/>
              </w:rPr>
              <w:t xml:space="preserve"> andningsapparat.</w:t>
            </w:r>
          </w:p>
          <w:p w14:paraId="16FBB266" w14:textId="77777777" w:rsidR="0092115D" w:rsidRPr="00225253" w:rsidRDefault="0092115D" w:rsidP="0092115D">
            <w:pPr>
              <w:rPr>
                <w:i/>
                <w:iCs/>
              </w:rPr>
            </w:pPr>
            <w:r w:rsidRPr="00225253">
              <w:rPr>
                <w:i/>
                <w:iCs/>
              </w:rPr>
              <w:t>· Mer information</w:t>
            </w:r>
          </w:p>
          <w:p w14:paraId="11F40728" w14:textId="50F7BB96" w:rsidR="0092115D" w:rsidRDefault="0092115D" w:rsidP="0092115D">
            <w:r>
              <w:rPr>
                <w:i/>
                <w:iCs/>
              </w:rPr>
              <w:t xml:space="preserve">  </w:t>
            </w:r>
            <w:r w:rsidRPr="00225253">
              <w:rPr>
                <w:i/>
                <w:iCs/>
              </w:rPr>
              <w:t xml:space="preserve">Brandrester och förorenat släckvatten måste omhändertas </w:t>
            </w:r>
            <w:r>
              <w:rPr>
                <w:i/>
                <w:iCs/>
              </w:rPr>
              <w:t xml:space="preserve">och </w:t>
            </w:r>
            <w:r w:rsidRPr="00225253">
              <w:rPr>
                <w:i/>
                <w:iCs/>
              </w:rPr>
              <w:t>kasseras enligt myndigheternas föreskrifter.</w:t>
            </w:r>
          </w:p>
        </w:tc>
      </w:tr>
      <w:tr w:rsidR="0092115D" w14:paraId="5F15A41E" w14:textId="77777777" w:rsidTr="005F471D">
        <w:tc>
          <w:tcPr>
            <w:tcW w:w="10456" w:type="dxa"/>
          </w:tcPr>
          <w:p w14:paraId="5BE5987A" w14:textId="77777777" w:rsidR="0092115D" w:rsidRPr="00981A9E" w:rsidRDefault="0092115D" w:rsidP="0092115D">
            <w:pPr>
              <w:contextualSpacing/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</w:pPr>
            <w:r w:rsidRPr="00981A9E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AVSNITT 6: Åtgärder vid oavsiktliga utsläpp</w:t>
            </w:r>
          </w:p>
          <w:p w14:paraId="12175FA2" w14:textId="77777777" w:rsidR="0092115D" w:rsidRDefault="0092115D" w:rsidP="0092115D">
            <w:pPr>
              <w:rPr>
                <w:i/>
                <w:iCs/>
              </w:rPr>
            </w:pPr>
            <w:r w:rsidRPr="00981A9E">
              <w:rPr>
                <w:i/>
                <w:iCs/>
              </w:rPr>
              <w:t xml:space="preserve">· 6.1 </w:t>
            </w:r>
            <w:r w:rsidRPr="00F7232A">
              <w:rPr>
                <w:i/>
                <w:iCs/>
              </w:rPr>
              <w:t>Personliga skyddsåtgärder, skyddsutrustning och nödåtgärder</w:t>
            </w:r>
            <w:r>
              <w:rPr>
                <w:i/>
                <w:iCs/>
              </w:rPr>
              <w:t>:</w:t>
            </w:r>
          </w:p>
          <w:p w14:paraId="25BC7F21" w14:textId="77777777" w:rsidR="0092115D" w:rsidRPr="00981A9E" w:rsidRDefault="0092115D" w:rsidP="0092115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981A9E">
              <w:rPr>
                <w:i/>
                <w:iCs/>
              </w:rPr>
              <w:t>Bär personliga skyddskläder.</w:t>
            </w:r>
          </w:p>
          <w:p w14:paraId="16297F9E" w14:textId="77777777" w:rsidR="00375518" w:rsidRPr="00375518" w:rsidRDefault="0092115D" w:rsidP="0037551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="00375518" w:rsidRPr="00375518">
              <w:rPr>
                <w:i/>
                <w:iCs/>
              </w:rPr>
              <w:t xml:space="preserve">Undvik </w:t>
            </w:r>
            <w:proofErr w:type="spellStart"/>
            <w:r w:rsidR="00375518" w:rsidRPr="00375518">
              <w:rPr>
                <w:i/>
                <w:iCs/>
              </w:rPr>
              <w:t>dammbildning</w:t>
            </w:r>
            <w:proofErr w:type="spellEnd"/>
            <w:r w:rsidR="00375518" w:rsidRPr="00375518">
              <w:rPr>
                <w:i/>
                <w:iCs/>
              </w:rPr>
              <w:t>.</w:t>
            </w:r>
          </w:p>
          <w:p w14:paraId="51117ACF" w14:textId="3D19E671" w:rsidR="00375518" w:rsidRPr="00375518" w:rsidRDefault="00375518" w:rsidP="0037551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375518">
              <w:rPr>
                <w:i/>
                <w:iCs/>
              </w:rPr>
              <w:t>Säkerställ tillräcklig ventilation.</w:t>
            </w:r>
          </w:p>
          <w:p w14:paraId="4B65CE15" w14:textId="1155EBB4" w:rsidR="0092115D" w:rsidRPr="00981A9E" w:rsidRDefault="00375518" w:rsidP="0037551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375518">
              <w:rPr>
                <w:i/>
                <w:iCs/>
              </w:rPr>
              <w:t>Undvik att andas in damm.</w:t>
            </w:r>
          </w:p>
          <w:p w14:paraId="3DA96316" w14:textId="77777777" w:rsidR="00375518" w:rsidRDefault="0092115D" w:rsidP="0092115D">
            <w:pPr>
              <w:rPr>
                <w:i/>
                <w:iCs/>
              </w:rPr>
            </w:pPr>
            <w:r w:rsidRPr="00981A9E">
              <w:rPr>
                <w:i/>
                <w:iCs/>
              </w:rPr>
              <w:t xml:space="preserve">· 6.2 Miljöskyddsåtgärder: </w:t>
            </w:r>
          </w:p>
          <w:p w14:paraId="29B51387" w14:textId="07945561" w:rsidR="00375518" w:rsidRDefault="00375518" w:rsidP="0092115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375518">
              <w:rPr>
                <w:i/>
                <w:iCs/>
              </w:rPr>
              <w:t>Slå ner damm med vattenstråle.</w:t>
            </w:r>
          </w:p>
          <w:p w14:paraId="1B9FE535" w14:textId="7894D355" w:rsidR="0092115D" w:rsidRPr="00981A9E" w:rsidRDefault="00375518" w:rsidP="0092115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="0092115D" w:rsidRPr="00981A9E">
              <w:rPr>
                <w:i/>
                <w:iCs/>
              </w:rPr>
              <w:t>Förhindra utsläpp i avlopp/ytvatten/grundvatten.</w:t>
            </w:r>
          </w:p>
          <w:p w14:paraId="6028D31B" w14:textId="77777777" w:rsidR="0092115D" w:rsidRPr="00981A9E" w:rsidRDefault="0092115D" w:rsidP="0092115D">
            <w:pPr>
              <w:rPr>
                <w:i/>
                <w:iCs/>
              </w:rPr>
            </w:pPr>
            <w:r w:rsidRPr="00981A9E">
              <w:rPr>
                <w:i/>
                <w:iCs/>
              </w:rPr>
              <w:t>· 6.3 Metoder och material för inneslutning och sanering:</w:t>
            </w:r>
          </w:p>
          <w:p w14:paraId="436D9189" w14:textId="77777777" w:rsidR="00375518" w:rsidRPr="00375518" w:rsidRDefault="0092115D" w:rsidP="0037551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="00375518" w:rsidRPr="00375518">
              <w:rPr>
                <w:i/>
                <w:iCs/>
              </w:rPr>
              <w:t>Säkerställ tillräcklig ventilation.</w:t>
            </w:r>
          </w:p>
          <w:p w14:paraId="5D751BDF" w14:textId="3F37D8B0" w:rsidR="00375518" w:rsidRPr="00375518" w:rsidRDefault="00375518" w:rsidP="0037551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375518">
              <w:rPr>
                <w:i/>
                <w:iCs/>
              </w:rPr>
              <w:t>Plocka upp mekaniskt.</w:t>
            </w:r>
          </w:p>
          <w:p w14:paraId="0593F187" w14:textId="4EBE21A6" w:rsidR="0092115D" w:rsidRPr="00981A9E" w:rsidRDefault="00375518" w:rsidP="0037551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375518">
              <w:rPr>
                <w:i/>
                <w:iCs/>
              </w:rPr>
              <w:t>Kassera förorenat material som avfall enligt avsnitt 13.</w:t>
            </w:r>
          </w:p>
          <w:p w14:paraId="17A58929" w14:textId="77777777" w:rsidR="0092115D" w:rsidRPr="00981A9E" w:rsidRDefault="0092115D" w:rsidP="0092115D">
            <w:pPr>
              <w:rPr>
                <w:i/>
                <w:iCs/>
              </w:rPr>
            </w:pPr>
            <w:r w:rsidRPr="00981A9E">
              <w:rPr>
                <w:i/>
                <w:iCs/>
              </w:rPr>
              <w:t>· 6.4 Hänvisning till andra avsnitt</w:t>
            </w:r>
            <w:r>
              <w:rPr>
                <w:i/>
                <w:iCs/>
              </w:rPr>
              <w:t>:</w:t>
            </w:r>
          </w:p>
          <w:p w14:paraId="448B9773" w14:textId="77777777" w:rsidR="0092115D" w:rsidRPr="00981A9E" w:rsidRDefault="0092115D" w:rsidP="0092115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981A9E">
              <w:rPr>
                <w:i/>
                <w:iCs/>
              </w:rPr>
              <w:t>Se avsnitt 7 för information om säker hantering.</w:t>
            </w:r>
          </w:p>
          <w:p w14:paraId="3A3E0167" w14:textId="77777777" w:rsidR="0092115D" w:rsidRPr="00981A9E" w:rsidRDefault="0092115D" w:rsidP="0092115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981A9E">
              <w:rPr>
                <w:i/>
                <w:iCs/>
              </w:rPr>
              <w:t>Se avsnitt 8 för information om personlig skyddsutrustning.</w:t>
            </w:r>
          </w:p>
          <w:p w14:paraId="18D7819E" w14:textId="77777777" w:rsidR="00044A38" w:rsidRDefault="0092115D" w:rsidP="00044A3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981A9E">
              <w:rPr>
                <w:i/>
                <w:iCs/>
              </w:rPr>
              <w:t>Information om avfallshantering, se avsnitt 13.</w:t>
            </w:r>
          </w:p>
          <w:p w14:paraId="32C8DEBC" w14:textId="65A1FAC0" w:rsidR="00044A38" w:rsidRPr="00044A38" w:rsidRDefault="00044A38" w:rsidP="00044A3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D80698">
              <w:rPr>
                <w:i/>
                <w:iCs/>
              </w:rPr>
              <w:t xml:space="preserve">(fortsättning på sida </w:t>
            </w:r>
            <w:r>
              <w:rPr>
                <w:i/>
                <w:iCs/>
              </w:rPr>
              <w:t>3</w:t>
            </w:r>
            <w:r w:rsidRPr="00D80698">
              <w:rPr>
                <w:i/>
                <w:iCs/>
              </w:rPr>
              <w:t>)</w:t>
            </w:r>
          </w:p>
        </w:tc>
      </w:tr>
    </w:tbl>
    <w:p w14:paraId="57FA8606" w14:textId="121D7DF5" w:rsidR="00375518" w:rsidRDefault="00375518">
      <w:pPr>
        <w:rPr>
          <w:i/>
          <w:iCs/>
        </w:rPr>
      </w:pPr>
    </w:p>
    <w:p w14:paraId="1075CA31" w14:textId="77777777" w:rsidR="00044A38" w:rsidRDefault="00044A38">
      <w:pPr>
        <w:rPr>
          <w:i/>
          <w:iCs/>
        </w:rPr>
      </w:pPr>
    </w:p>
    <w:p w14:paraId="7F8900D1" w14:textId="45F14D1C" w:rsidR="00375518" w:rsidRDefault="00375518">
      <w:pPr>
        <w:rPr>
          <w:i/>
          <w:iCs/>
        </w:rPr>
      </w:pPr>
    </w:p>
    <w:p w14:paraId="7921AF1B" w14:textId="46C63E78" w:rsidR="00375518" w:rsidRPr="005523F8" w:rsidRDefault="00375518" w:rsidP="00375518">
      <w:pPr>
        <w:contextualSpacing/>
        <w:rPr>
          <w:i/>
          <w:iCs/>
        </w:rPr>
      </w:pPr>
      <w:r>
        <w:rPr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5523F8">
        <w:rPr>
          <w:i/>
          <w:iCs/>
        </w:rPr>
        <w:t xml:space="preserve">Sid </w:t>
      </w:r>
      <w:r>
        <w:rPr>
          <w:i/>
          <w:iCs/>
        </w:rPr>
        <w:t>3</w:t>
      </w:r>
      <w:r w:rsidRPr="005523F8">
        <w:rPr>
          <w:i/>
          <w:iCs/>
        </w:rPr>
        <w:t>/</w:t>
      </w:r>
      <w:r>
        <w:rPr>
          <w:i/>
          <w:iCs/>
        </w:rPr>
        <w:t>7</w:t>
      </w:r>
    </w:p>
    <w:p w14:paraId="1C47A0A9" w14:textId="77777777" w:rsidR="00375518" w:rsidRPr="00ED34AA" w:rsidRDefault="00375518" w:rsidP="00375518">
      <w:pPr>
        <w:contextualSpacing/>
        <w:jc w:val="center"/>
        <w:rPr>
          <w:i/>
          <w:iCs/>
          <w:sz w:val="28"/>
          <w:szCs w:val="28"/>
        </w:rPr>
      </w:pPr>
      <w:r w:rsidRPr="00ED34AA">
        <w:rPr>
          <w:i/>
          <w:iCs/>
          <w:sz w:val="28"/>
          <w:szCs w:val="28"/>
        </w:rPr>
        <w:t>Säkerhetsdatablad</w:t>
      </w:r>
    </w:p>
    <w:p w14:paraId="02EB44FF" w14:textId="77777777" w:rsidR="00375518" w:rsidRDefault="00375518" w:rsidP="00375518">
      <w:pPr>
        <w:contextualSpacing/>
        <w:jc w:val="center"/>
        <w:rPr>
          <w:i/>
          <w:iCs/>
          <w:sz w:val="24"/>
          <w:szCs w:val="24"/>
        </w:rPr>
      </w:pPr>
      <w:r w:rsidRPr="00D67CF0">
        <w:rPr>
          <w:i/>
          <w:iCs/>
          <w:sz w:val="24"/>
          <w:szCs w:val="24"/>
        </w:rPr>
        <w:t>enligt 1907/2006/EG, Artikel 31</w:t>
      </w:r>
    </w:p>
    <w:p w14:paraId="16C296B3" w14:textId="77777777" w:rsidR="00375518" w:rsidRDefault="00375518" w:rsidP="00375518">
      <w:pPr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4553A6">
        <w:rPr>
          <w:i/>
          <w:iCs/>
          <w:sz w:val="24"/>
          <w:szCs w:val="24"/>
        </w:rPr>
        <w:t>Utskriftsdatum: 2019-0</w:t>
      </w:r>
      <w:r>
        <w:rPr>
          <w:i/>
          <w:iCs/>
          <w:sz w:val="24"/>
          <w:szCs w:val="24"/>
        </w:rPr>
        <w:t>6</w:t>
      </w:r>
      <w:r w:rsidRPr="004553A6">
        <w:rPr>
          <w:i/>
          <w:iCs/>
          <w:sz w:val="24"/>
          <w:szCs w:val="24"/>
        </w:rPr>
        <w:t>-0</w:t>
      </w:r>
      <w:r>
        <w:rPr>
          <w:i/>
          <w:iCs/>
          <w:sz w:val="24"/>
          <w:szCs w:val="24"/>
        </w:rPr>
        <w:t>3</w:t>
      </w:r>
      <w:r w:rsidRPr="004553A6">
        <w:rPr>
          <w:i/>
          <w:iCs/>
          <w:sz w:val="24"/>
          <w:szCs w:val="24"/>
        </w:rPr>
        <w:t xml:space="preserve"> </w:t>
      </w:r>
      <w:r w:rsidRPr="004553A6">
        <w:rPr>
          <w:i/>
          <w:iCs/>
          <w:sz w:val="24"/>
          <w:szCs w:val="24"/>
        </w:rPr>
        <w:tab/>
        <w:t xml:space="preserve">    Version nummer 1                                        Reviderad: 2019-0</w:t>
      </w:r>
      <w:r>
        <w:rPr>
          <w:i/>
          <w:iCs/>
          <w:sz w:val="24"/>
          <w:szCs w:val="24"/>
        </w:rPr>
        <w:t>6</w:t>
      </w:r>
      <w:r w:rsidRPr="004553A6">
        <w:rPr>
          <w:i/>
          <w:iCs/>
          <w:sz w:val="24"/>
          <w:szCs w:val="24"/>
        </w:rPr>
        <w:t>-0</w:t>
      </w:r>
      <w:r>
        <w:rPr>
          <w:i/>
          <w:iCs/>
          <w:sz w:val="24"/>
          <w:szCs w:val="24"/>
        </w:rPr>
        <w:t>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2038" w14:paraId="78292375" w14:textId="77777777" w:rsidTr="00532038">
        <w:tc>
          <w:tcPr>
            <w:tcW w:w="10456" w:type="dxa"/>
          </w:tcPr>
          <w:p w14:paraId="24DAC7A1" w14:textId="2EA95A55" w:rsidR="00532038" w:rsidRDefault="00532038">
            <w:r w:rsidRPr="003E67E3">
              <w:rPr>
                <w:rFonts w:cstheme="minorHAnsi"/>
                <w:i/>
                <w:iCs/>
              </w:rPr>
              <w:t xml:space="preserve">Handelsnamn: </w:t>
            </w:r>
            <w:r w:rsidRPr="004F1E75">
              <w:rPr>
                <w:rFonts w:cstheme="minorHAnsi"/>
                <w:i/>
                <w:iCs/>
              </w:rPr>
              <w:t xml:space="preserve">Trixie </w:t>
            </w:r>
            <w:r>
              <w:rPr>
                <w:rFonts w:cstheme="minorHAnsi"/>
                <w:i/>
                <w:iCs/>
              </w:rPr>
              <w:t>Torrschampo</w:t>
            </w:r>
          </w:p>
        </w:tc>
      </w:tr>
    </w:tbl>
    <w:p w14:paraId="5AB389F9" w14:textId="6A8AA762" w:rsidR="00532038" w:rsidRDefault="00532038" w:rsidP="00532038">
      <w:pPr>
        <w:contextualSpacing/>
        <w:rPr>
          <w:i/>
          <w:iCs/>
        </w:rPr>
      </w:pPr>
      <w:r w:rsidRPr="00E173FA">
        <w:rPr>
          <w:i/>
          <w:iCs/>
        </w:rPr>
        <w:t xml:space="preserve">                                                                                 </w:t>
      </w:r>
      <w:r>
        <w:rPr>
          <w:i/>
          <w:iCs/>
        </w:rPr>
        <w:t xml:space="preserve">                                                                                   </w:t>
      </w:r>
      <w:r w:rsidRPr="00E173FA">
        <w:rPr>
          <w:i/>
          <w:iCs/>
        </w:rPr>
        <w:t xml:space="preserve"> (fortsättning från sida </w:t>
      </w:r>
      <w:r>
        <w:rPr>
          <w:i/>
          <w:iCs/>
        </w:rPr>
        <w:t>2</w:t>
      </w:r>
      <w:r w:rsidRPr="00E173FA">
        <w:rPr>
          <w:i/>
          <w:iCs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2038" w14:paraId="58DCAB84" w14:textId="77777777" w:rsidTr="00532038">
        <w:tc>
          <w:tcPr>
            <w:tcW w:w="10456" w:type="dxa"/>
          </w:tcPr>
          <w:p w14:paraId="21778B84" w14:textId="77777777" w:rsidR="00532038" w:rsidRPr="00981A9E" w:rsidRDefault="00532038" w:rsidP="00532038">
            <w:pPr>
              <w:contextualSpacing/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</w:pPr>
            <w:r w:rsidRPr="00981A9E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AVSNITT 7: Hantering och lagring</w:t>
            </w:r>
          </w:p>
          <w:p w14:paraId="02300BE4" w14:textId="77777777" w:rsidR="00532038" w:rsidRPr="00981A9E" w:rsidRDefault="00532038" w:rsidP="00532038">
            <w:pPr>
              <w:rPr>
                <w:i/>
                <w:iCs/>
              </w:rPr>
            </w:pPr>
            <w:r w:rsidRPr="00981A9E">
              <w:rPr>
                <w:i/>
                <w:iCs/>
              </w:rPr>
              <w:t>· 7.1 Försiktighetsmått för säker hantering</w:t>
            </w:r>
            <w:r>
              <w:rPr>
                <w:i/>
                <w:iCs/>
              </w:rPr>
              <w:t>:</w:t>
            </w:r>
          </w:p>
          <w:p w14:paraId="0844E181" w14:textId="77777777" w:rsidR="00532038" w:rsidRPr="00981A9E" w:rsidRDefault="00532038" w:rsidP="0053203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981A9E">
              <w:rPr>
                <w:i/>
                <w:iCs/>
              </w:rPr>
              <w:t>De vanliga försiktighetsåtgärderna vid hantering av kemikalier måste iakttas.</w:t>
            </w:r>
          </w:p>
          <w:p w14:paraId="0AB1F951" w14:textId="77777777" w:rsidR="00532038" w:rsidRPr="00532038" w:rsidRDefault="00532038" w:rsidP="0053203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2038">
              <w:rPr>
                <w:i/>
                <w:iCs/>
              </w:rPr>
              <w:t xml:space="preserve">Undvik </w:t>
            </w:r>
            <w:proofErr w:type="spellStart"/>
            <w:r w:rsidRPr="00532038">
              <w:rPr>
                <w:i/>
                <w:iCs/>
              </w:rPr>
              <w:t>dammbildning</w:t>
            </w:r>
            <w:proofErr w:type="spellEnd"/>
            <w:r w:rsidRPr="00532038">
              <w:rPr>
                <w:i/>
                <w:iCs/>
              </w:rPr>
              <w:t>.</w:t>
            </w:r>
          </w:p>
          <w:p w14:paraId="68B653FE" w14:textId="14A00503" w:rsidR="00532038" w:rsidRPr="00532038" w:rsidRDefault="00532038" w:rsidP="0053203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2038">
              <w:rPr>
                <w:i/>
                <w:iCs/>
              </w:rPr>
              <w:t>Säkerställ god ventilation/utsug på arbetsplatsen.</w:t>
            </w:r>
          </w:p>
          <w:p w14:paraId="6DE225FC" w14:textId="770417C1" w:rsidR="00532038" w:rsidRPr="00981A9E" w:rsidRDefault="00532038" w:rsidP="0053203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2038">
              <w:rPr>
                <w:i/>
                <w:iCs/>
              </w:rPr>
              <w:t>Undvik långvarig och intensiv hudkontakt.</w:t>
            </w:r>
          </w:p>
          <w:p w14:paraId="17D825C4" w14:textId="77777777" w:rsidR="00532038" w:rsidRPr="00981A9E" w:rsidRDefault="00532038" w:rsidP="00532038">
            <w:pPr>
              <w:rPr>
                <w:i/>
                <w:iCs/>
              </w:rPr>
            </w:pPr>
            <w:r w:rsidRPr="00981A9E">
              <w:rPr>
                <w:i/>
                <w:iCs/>
              </w:rPr>
              <w:t>· Hänvisningar beträffande explosions- och brandskydd:</w:t>
            </w:r>
            <w:r>
              <w:rPr>
                <w:i/>
                <w:iCs/>
              </w:rPr>
              <w:t xml:space="preserve"> </w:t>
            </w:r>
            <w:r w:rsidRPr="00981A9E">
              <w:rPr>
                <w:i/>
                <w:iCs/>
              </w:rPr>
              <w:t>Inga speciella åtgärder krävs.</w:t>
            </w:r>
          </w:p>
          <w:p w14:paraId="5A2D955C" w14:textId="77777777" w:rsidR="00532038" w:rsidRPr="00981A9E" w:rsidRDefault="00532038" w:rsidP="00532038">
            <w:pPr>
              <w:rPr>
                <w:i/>
                <w:iCs/>
              </w:rPr>
            </w:pPr>
            <w:r w:rsidRPr="00981A9E">
              <w:rPr>
                <w:i/>
                <w:iCs/>
              </w:rPr>
              <w:t>· 7.2 Förhållanden för säker lagring, inklusive eventuell oförenlighet</w:t>
            </w:r>
            <w:r>
              <w:rPr>
                <w:i/>
                <w:iCs/>
              </w:rPr>
              <w:t>:</w:t>
            </w:r>
          </w:p>
          <w:p w14:paraId="21C7DD5D" w14:textId="77777777" w:rsidR="00532038" w:rsidRPr="00981A9E" w:rsidRDefault="00532038" w:rsidP="00532038">
            <w:pPr>
              <w:rPr>
                <w:i/>
                <w:iCs/>
              </w:rPr>
            </w:pPr>
            <w:r w:rsidRPr="00981A9E">
              <w:rPr>
                <w:i/>
                <w:iCs/>
              </w:rPr>
              <w:t>· Lagring:</w:t>
            </w:r>
          </w:p>
          <w:p w14:paraId="0B8404B1" w14:textId="4F6DA420" w:rsidR="00532038" w:rsidRDefault="00532038" w:rsidP="00532038">
            <w:pPr>
              <w:rPr>
                <w:i/>
                <w:iCs/>
              </w:rPr>
            </w:pPr>
            <w:r w:rsidRPr="00981A9E">
              <w:rPr>
                <w:i/>
                <w:iCs/>
              </w:rPr>
              <w:t xml:space="preserve">· Krav på lagerutrymmen och behållare: </w:t>
            </w:r>
          </w:p>
          <w:p w14:paraId="61EF3E7E" w14:textId="1060C5C9" w:rsidR="00532038" w:rsidRPr="00532038" w:rsidRDefault="00532038" w:rsidP="0053203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2038">
              <w:rPr>
                <w:i/>
                <w:iCs/>
              </w:rPr>
              <w:t>Förvara endast i originalförpackningen.</w:t>
            </w:r>
          </w:p>
          <w:p w14:paraId="3C3E3AD0" w14:textId="20762C15" w:rsidR="00532038" w:rsidRPr="00981A9E" w:rsidRDefault="00532038" w:rsidP="0053203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2038">
              <w:rPr>
                <w:i/>
                <w:iCs/>
              </w:rPr>
              <w:t>Förvara endast i torra rum.</w:t>
            </w:r>
          </w:p>
          <w:p w14:paraId="62B4ADDA" w14:textId="77777777" w:rsidR="00532038" w:rsidRPr="00981A9E" w:rsidRDefault="00532038" w:rsidP="00532038">
            <w:pPr>
              <w:rPr>
                <w:i/>
                <w:iCs/>
              </w:rPr>
            </w:pPr>
            <w:r w:rsidRPr="00981A9E">
              <w:rPr>
                <w:i/>
                <w:iCs/>
              </w:rPr>
              <w:t>· Information om lagring i ett gemensamt lager: Behövs ej.</w:t>
            </w:r>
          </w:p>
          <w:p w14:paraId="487E5CD6" w14:textId="77777777" w:rsidR="00532038" w:rsidRPr="00981A9E" w:rsidRDefault="00532038" w:rsidP="00532038">
            <w:pPr>
              <w:rPr>
                <w:i/>
                <w:iCs/>
              </w:rPr>
            </w:pPr>
            <w:r w:rsidRPr="00981A9E">
              <w:rPr>
                <w:i/>
                <w:iCs/>
              </w:rPr>
              <w:t>· Ytterligare information om lagringsvillkoren:</w:t>
            </w:r>
          </w:p>
          <w:p w14:paraId="7DC968B0" w14:textId="327BEF28" w:rsidR="00532038" w:rsidRPr="00981A9E" w:rsidRDefault="00532038" w:rsidP="0053203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981A9E">
              <w:rPr>
                <w:i/>
                <w:iCs/>
              </w:rPr>
              <w:t>Förvaras torrt vid 10 - 25 °C.</w:t>
            </w:r>
          </w:p>
          <w:p w14:paraId="32C21688" w14:textId="77777777" w:rsidR="00532038" w:rsidRPr="00981A9E" w:rsidRDefault="00532038" w:rsidP="0053203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981A9E">
              <w:rPr>
                <w:i/>
                <w:iCs/>
              </w:rPr>
              <w:t>Förvaringsklass: 10 till 13</w:t>
            </w:r>
            <w:r>
              <w:rPr>
                <w:i/>
                <w:iCs/>
              </w:rPr>
              <w:t>.</w:t>
            </w:r>
          </w:p>
          <w:p w14:paraId="5AE73D24" w14:textId="77777777" w:rsidR="00532038" w:rsidRDefault="00532038" w:rsidP="00532038">
            <w:pPr>
              <w:rPr>
                <w:i/>
                <w:iCs/>
              </w:rPr>
            </w:pPr>
            <w:r w:rsidRPr="00981A9E">
              <w:rPr>
                <w:i/>
                <w:iCs/>
              </w:rPr>
              <w:t>· Klassificering enligt förordningen om industrisäkerhet och hälsa (</w:t>
            </w:r>
            <w:proofErr w:type="spellStart"/>
            <w:r w:rsidRPr="00981A9E">
              <w:rPr>
                <w:i/>
                <w:iCs/>
              </w:rPr>
              <w:t>BetrSichV</w:t>
            </w:r>
            <w:proofErr w:type="spellEnd"/>
            <w:r w:rsidRPr="00981A9E">
              <w:rPr>
                <w:i/>
                <w:iCs/>
              </w:rPr>
              <w:t>): -</w:t>
            </w:r>
          </w:p>
          <w:p w14:paraId="04A569E8" w14:textId="742170D5" w:rsidR="00532038" w:rsidRDefault="00532038" w:rsidP="00532038">
            <w:r w:rsidRPr="00981A9E">
              <w:rPr>
                <w:i/>
                <w:iCs/>
              </w:rPr>
              <w:t xml:space="preserve"> </w:t>
            </w:r>
            <w:r w:rsidRPr="00DB19CD">
              <w:rPr>
                <w:i/>
                <w:iCs/>
              </w:rPr>
              <w:t>· 7.3 Specifik slutanvändning:</w:t>
            </w:r>
            <w:r w:rsidRPr="00533461">
              <w:rPr>
                <w:i/>
                <w:iCs/>
              </w:rPr>
              <w:t xml:space="preserve"> Ingen ytterligare relevant information finns till förfogande.</w:t>
            </w:r>
            <w:r w:rsidRPr="00981A9E">
              <w:rPr>
                <w:i/>
                <w:iCs/>
              </w:rPr>
              <w:t xml:space="preserve">                                                                                                    </w:t>
            </w:r>
          </w:p>
        </w:tc>
      </w:tr>
      <w:tr w:rsidR="00532038" w14:paraId="15B457A8" w14:textId="77777777" w:rsidTr="00532038">
        <w:tc>
          <w:tcPr>
            <w:tcW w:w="10456" w:type="dxa"/>
          </w:tcPr>
          <w:p w14:paraId="2B1A330D" w14:textId="77777777" w:rsidR="006C0A29" w:rsidRPr="00533461" w:rsidRDefault="006C0A29" w:rsidP="006C0A29">
            <w:pPr>
              <w:contextualSpacing/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</w:pPr>
            <w:r w:rsidRPr="00533461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AVSNITT 8: Begränsning av exponering/personlig skyddsutrustning</w:t>
            </w:r>
          </w:p>
          <w:p w14:paraId="27253598" w14:textId="77777777" w:rsidR="006C0A29" w:rsidRPr="00533461" w:rsidRDefault="006C0A29" w:rsidP="006C0A29">
            <w:pPr>
              <w:contextualSpacing/>
              <w:rPr>
                <w:i/>
                <w:iCs/>
              </w:rPr>
            </w:pPr>
            <w:r w:rsidRPr="00533461">
              <w:rPr>
                <w:i/>
                <w:iCs/>
              </w:rPr>
              <w:t>· Ytterligare information om utformning av tekniska system: Ingen ytterligare information, se avsnitt 7.</w:t>
            </w:r>
          </w:p>
          <w:p w14:paraId="1A3D1349" w14:textId="77777777" w:rsidR="006C0A29" w:rsidRDefault="006C0A29" w:rsidP="006C0A29">
            <w:pPr>
              <w:contextualSpacing/>
              <w:rPr>
                <w:i/>
                <w:iCs/>
              </w:rPr>
            </w:pPr>
            <w:r w:rsidRPr="00533461">
              <w:rPr>
                <w:i/>
                <w:iCs/>
              </w:rPr>
              <w:t>· 8.1 Parametrar att övervaka</w:t>
            </w:r>
            <w:r>
              <w:rPr>
                <w:i/>
                <w:iCs/>
              </w:rPr>
              <w:t>:</w:t>
            </w:r>
          </w:p>
          <w:p w14:paraId="33CADD2E" w14:textId="7DC51B5E" w:rsidR="006C0A29" w:rsidRDefault="006C0A29" w:rsidP="006C0A29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3461">
              <w:rPr>
                <w:i/>
                <w:iCs/>
              </w:rPr>
              <w:t>Komponenter med arbetsplatsrelaterade gränsvärden som ska övervakas:</w:t>
            </w:r>
          </w:p>
          <w:p w14:paraId="26A8065A" w14:textId="0E0841F3" w:rsidR="002E4EF6" w:rsidRPr="002E4EF6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2E4EF6">
              <w:rPr>
                <w:i/>
                <w:iCs/>
              </w:rPr>
              <w:t xml:space="preserve">Allmänt </w:t>
            </w:r>
            <w:proofErr w:type="spellStart"/>
            <w:r w:rsidRPr="002E4EF6">
              <w:rPr>
                <w:i/>
                <w:iCs/>
              </w:rPr>
              <w:t>dammgränsvärde</w:t>
            </w:r>
            <w:proofErr w:type="spellEnd"/>
            <w:r w:rsidRPr="002E4EF6">
              <w:rPr>
                <w:i/>
                <w:iCs/>
              </w:rPr>
              <w:t xml:space="preserve"> (TRGS 900, juni 2018):</w:t>
            </w:r>
          </w:p>
          <w:p w14:paraId="17087B8C" w14:textId="5FC1E710" w:rsidR="002E4EF6" w:rsidRPr="002E4EF6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proofErr w:type="spellStart"/>
            <w:r w:rsidRPr="002E4EF6">
              <w:rPr>
                <w:i/>
                <w:iCs/>
              </w:rPr>
              <w:t>respirabel</w:t>
            </w:r>
            <w:proofErr w:type="spellEnd"/>
            <w:r w:rsidRPr="002E4EF6">
              <w:rPr>
                <w:i/>
                <w:iCs/>
              </w:rPr>
              <w:t xml:space="preserve"> fraktion: 1,25 mg/m³</w:t>
            </w:r>
          </w:p>
          <w:p w14:paraId="0DB7E9C6" w14:textId="64B6049C" w:rsidR="002E4EF6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2E4EF6">
              <w:rPr>
                <w:i/>
                <w:iCs/>
              </w:rPr>
              <w:t>inhalerbar fraktion: 10 mg/m³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1006"/>
              <w:gridCol w:w="9218"/>
            </w:tblGrid>
            <w:tr w:rsidR="006C0A29" w14:paraId="3BA30C4F" w14:textId="77777777" w:rsidTr="007B0372">
              <w:tc>
                <w:tcPr>
                  <w:tcW w:w="10224" w:type="dxa"/>
                  <w:gridSpan w:val="2"/>
                </w:tcPr>
                <w:p w14:paraId="7B3F04AB" w14:textId="3375FDE5" w:rsidR="006C0A29" w:rsidRDefault="002E4EF6" w:rsidP="006C0A29">
                  <w:pPr>
                    <w:contextualSpacing/>
                    <w:rPr>
                      <w:i/>
                      <w:iCs/>
                    </w:rPr>
                  </w:pPr>
                  <w:r w:rsidRPr="002E4EF6">
                    <w:rPr>
                      <w:i/>
                      <w:iCs/>
                    </w:rPr>
                    <w:t>14807-96-6 Talk</w:t>
                  </w:r>
                </w:p>
              </w:tc>
            </w:tr>
            <w:tr w:rsidR="006C0A29" w:rsidRPr="00533461" w14:paraId="245106B8" w14:textId="77777777" w:rsidTr="007B0372">
              <w:tc>
                <w:tcPr>
                  <w:tcW w:w="1006" w:type="dxa"/>
                </w:tcPr>
                <w:p w14:paraId="791BF3A9" w14:textId="77777777" w:rsidR="006C0A29" w:rsidRPr="00533461" w:rsidRDefault="006C0A29" w:rsidP="006C0A29">
                  <w:pPr>
                    <w:contextualSpacing/>
                    <w:rPr>
                      <w:i/>
                      <w:iCs/>
                    </w:rPr>
                  </w:pPr>
                  <w:r w:rsidRPr="00533461">
                    <w:rPr>
                      <w:i/>
                      <w:iCs/>
                    </w:rPr>
                    <w:t>MAK</w:t>
                  </w:r>
                </w:p>
              </w:tc>
              <w:tc>
                <w:tcPr>
                  <w:tcW w:w="9218" w:type="dxa"/>
                </w:tcPr>
                <w:p w14:paraId="2BC0F3AD" w14:textId="1FD38017" w:rsidR="006C0A29" w:rsidRPr="00533461" w:rsidRDefault="002E4EF6" w:rsidP="006C0A29">
                  <w:pPr>
                    <w:contextualSpacing/>
                    <w:rPr>
                      <w:i/>
                      <w:iCs/>
                    </w:rPr>
                  </w:pPr>
                  <w:r w:rsidRPr="002E4EF6">
                    <w:rPr>
                      <w:i/>
                      <w:iCs/>
                    </w:rPr>
                    <w:t xml:space="preserve">asbestfri, </w:t>
                  </w:r>
                  <w:proofErr w:type="spellStart"/>
                  <w:r w:rsidRPr="002E4EF6">
                    <w:rPr>
                      <w:i/>
                      <w:iCs/>
                    </w:rPr>
                    <w:t>respirabel</w:t>
                  </w:r>
                  <w:proofErr w:type="spellEnd"/>
                  <w:r w:rsidRPr="002E4EF6">
                    <w:rPr>
                      <w:i/>
                      <w:iCs/>
                    </w:rPr>
                    <w:t xml:space="preserve"> fraktion</w:t>
                  </w:r>
                </w:p>
              </w:tc>
            </w:tr>
          </w:tbl>
          <w:p w14:paraId="57EBB8D4" w14:textId="77777777" w:rsidR="002E4EF6" w:rsidRPr="00533461" w:rsidRDefault="002E4EF6" w:rsidP="002E4EF6">
            <w:pPr>
              <w:contextualSpacing/>
              <w:rPr>
                <w:i/>
                <w:iCs/>
              </w:rPr>
            </w:pPr>
            <w:r w:rsidRPr="00533461">
              <w:rPr>
                <w:i/>
                <w:iCs/>
              </w:rPr>
              <w:t>· Ytterligare information: Som underlag användes de listor som gällde vid framställningen.</w:t>
            </w:r>
          </w:p>
          <w:p w14:paraId="091E8492" w14:textId="77777777" w:rsidR="002E4EF6" w:rsidRPr="00533461" w:rsidRDefault="002E4EF6" w:rsidP="002E4EF6">
            <w:pPr>
              <w:contextualSpacing/>
              <w:rPr>
                <w:i/>
                <w:iCs/>
              </w:rPr>
            </w:pPr>
            <w:r w:rsidRPr="00533461">
              <w:rPr>
                <w:i/>
                <w:iCs/>
              </w:rPr>
              <w:t>· 8.2 Begränsning och övervakning av exponering</w:t>
            </w:r>
            <w:r>
              <w:rPr>
                <w:i/>
                <w:iCs/>
              </w:rPr>
              <w:t>.</w:t>
            </w:r>
          </w:p>
          <w:p w14:paraId="72D08990" w14:textId="77777777" w:rsidR="002E4EF6" w:rsidRPr="00533461" w:rsidRDefault="002E4EF6" w:rsidP="002E4EF6">
            <w:pPr>
              <w:contextualSpacing/>
              <w:rPr>
                <w:i/>
                <w:iCs/>
              </w:rPr>
            </w:pPr>
            <w:r w:rsidRPr="00533461">
              <w:rPr>
                <w:i/>
                <w:iCs/>
              </w:rPr>
              <w:t>· Personlig skyddsutrustning:</w:t>
            </w:r>
          </w:p>
          <w:p w14:paraId="453A3FD0" w14:textId="77777777" w:rsidR="002E4EF6" w:rsidRPr="00533461" w:rsidRDefault="002E4EF6" w:rsidP="002E4EF6">
            <w:pPr>
              <w:contextualSpacing/>
              <w:rPr>
                <w:i/>
                <w:iCs/>
              </w:rPr>
            </w:pPr>
            <w:r w:rsidRPr="00533461">
              <w:rPr>
                <w:i/>
                <w:iCs/>
              </w:rPr>
              <w:t>· Allmänna skydds- och hygienåtgärder:</w:t>
            </w:r>
          </w:p>
          <w:p w14:paraId="66AEFAFB" w14:textId="77777777" w:rsidR="002E4EF6" w:rsidRPr="00533461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3461">
              <w:rPr>
                <w:i/>
                <w:iCs/>
              </w:rPr>
              <w:t>De vanliga försiktighetsåtgärderna vid hantering av kemikalier måste iakttas.</w:t>
            </w:r>
          </w:p>
          <w:p w14:paraId="61DF6904" w14:textId="77777777" w:rsidR="002E4EF6" w:rsidRPr="00533461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3461">
              <w:rPr>
                <w:i/>
                <w:iCs/>
              </w:rPr>
              <w:t>Undvik ögonkontakt.</w:t>
            </w:r>
          </w:p>
          <w:p w14:paraId="52CCA5A1" w14:textId="721C7FB6" w:rsidR="002E4EF6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3461">
              <w:rPr>
                <w:i/>
                <w:iCs/>
              </w:rPr>
              <w:t>Undvik långvarig och intensiv hudkontakt.</w:t>
            </w:r>
          </w:p>
          <w:p w14:paraId="4A5C6DF7" w14:textId="25A6C1BA" w:rsidR="002E4EF6" w:rsidRPr="00533461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2E4EF6">
              <w:rPr>
                <w:i/>
                <w:iCs/>
              </w:rPr>
              <w:t>Andas inte in damm/rök/dimma.</w:t>
            </w:r>
          </w:p>
          <w:p w14:paraId="0FFAEFE7" w14:textId="77777777" w:rsidR="002E4EF6" w:rsidRPr="00533461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3461">
              <w:rPr>
                <w:i/>
                <w:iCs/>
              </w:rPr>
              <w:t>Tvätta händerna före raster och efter arbetets slut.</w:t>
            </w:r>
          </w:p>
          <w:p w14:paraId="28D21F4D" w14:textId="2B72BDBD" w:rsidR="002E4EF6" w:rsidRDefault="002E4EF6" w:rsidP="002E4EF6">
            <w:pPr>
              <w:contextualSpacing/>
              <w:rPr>
                <w:i/>
                <w:iCs/>
              </w:rPr>
            </w:pPr>
            <w:r w:rsidRPr="00533461">
              <w:rPr>
                <w:i/>
                <w:iCs/>
              </w:rPr>
              <w:t xml:space="preserve">· Andningsskydd: </w:t>
            </w:r>
          </w:p>
          <w:p w14:paraId="318A9CB4" w14:textId="77777777" w:rsidR="002E4EF6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2E4EF6">
              <w:rPr>
                <w:i/>
                <w:iCs/>
              </w:rPr>
              <w:t xml:space="preserve">För långvarig exponering för luftburna koncentrationer av damm, rekommenderas en lämplig </w:t>
            </w:r>
          </w:p>
          <w:p w14:paraId="6BE5C084" w14:textId="00BC8D7E" w:rsidR="002E4EF6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2E4EF6">
              <w:rPr>
                <w:i/>
                <w:iCs/>
              </w:rPr>
              <w:t>Partikelfiltermask</w:t>
            </w:r>
            <w:r>
              <w:rPr>
                <w:i/>
                <w:iCs/>
              </w:rPr>
              <w:t xml:space="preserve"> </w:t>
            </w:r>
            <w:r w:rsidRPr="002E4EF6">
              <w:rPr>
                <w:i/>
                <w:iCs/>
              </w:rPr>
              <w:t>baserat på den förväntade exponeringen, som uppfyller kraven i nationell lagstiftning.</w:t>
            </w:r>
          </w:p>
          <w:p w14:paraId="5C8CD9B6" w14:textId="1F22FE17" w:rsidR="002E4EF6" w:rsidRPr="00533461" w:rsidRDefault="002E4EF6" w:rsidP="002E4EF6">
            <w:pPr>
              <w:contextualSpacing/>
              <w:rPr>
                <w:i/>
                <w:iCs/>
              </w:rPr>
            </w:pPr>
            <w:r w:rsidRPr="002E4EF6">
              <w:rPr>
                <w:i/>
                <w:iCs/>
              </w:rPr>
              <w:t>· Rekommenderad filteranordning för kortvarig användning: Filter P1</w:t>
            </w:r>
          </w:p>
          <w:p w14:paraId="20079129" w14:textId="77777777" w:rsidR="002E4EF6" w:rsidRPr="00533461" w:rsidRDefault="002E4EF6" w:rsidP="002E4EF6">
            <w:pPr>
              <w:contextualSpacing/>
              <w:rPr>
                <w:i/>
                <w:iCs/>
              </w:rPr>
            </w:pPr>
            <w:r w:rsidRPr="00533461">
              <w:rPr>
                <w:i/>
                <w:iCs/>
              </w:rPr>
              <w:t>· Handskydd:</w:t>
            </w:r>
          </w:p>
          <w:p w14:paraId="5D58909C" w14:textId="77777777" w:rsidR="002E4EF6" w:rsidRPr="00533461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3461">
              <w:rPr>
                <w:i/>
                <w:iCs/>
              </w:rPr>
              <w:t>Handskmaterialet måste vara ogenomträngligt och beständigt mot produkten/ämnet/preparatet.</w:t>
            </w:r>
          </w:p>
          <w:p w14:paraId="29B08BC9" w14:textId="77777777" w:rsidR="002E4EF6" w:rsidRPr="00533461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3461">
              <w:rPr>
                <w:i/>
                <w:iCs/>
              </w:rPr>
              <w:t>Val av handskmaterial med hänsyn till penetrationstider, diffusionshastigheter och</w:t>
            </w:r>
            <w:r>
              <w:rPr>
                <w:i/>
                <w:iCs/>
              </w:rPr>
              <w:t xml:space="preserve"> </w:t>
            </w:r>
            <w:r w:rsidRPr="00533461">
              <w:rPr>
                <w:i/>
                <w:iCs/>
              </w:rPr>
              <w:t>degradering.</w:t>
            </w:r>
          </w:p>
          <w:p w14:paraId="74EF730F" w14:textId="77777777" w:rsidR="002E4EF6" w:rsidRPr="00533461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3461">
              <w:rPr>
                <w:i/>
                <w:iCs/>
              </w:rPr>
              <w:t>Skyddshandskar enligt EN 374</w:t>
            </w:r>
            <w:r>
              <w:rPr>
                <w:i/>
                <w:iCs/>
              </w:rPr>
              <w:t>.</w:t>
            </w:r>
          </w:p>
          <w:p w14:paraId="3CB99B14" w14:textId="64DC11D2" w:rsidR="002E4EF6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3461">
              <w:rPr>
                <w:i/>
                <w:iCs/>
              </w:rPr>
              <w:t>Tätheten måste kontrolleras varje gång handsken används igen.</w:t>
            </w:r>
          </w:p>
          <w:p w14:paraId="3EDEBEF3" w14:textId="77777777" w:rsidR="002E4EF6" w:rsidRPr="00533461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proofErr w:type="spellStart"/>
            <w:r w:rsidRPr="00533461">
              <w:rPr>
                <w:i/>
                <w:iCs/>
              </w:rPr>
              <w:t>nitrilgummi</w:t>
            </w:r>
            <w:proofErr w:type="spellEnd"/>
          </w:p>
          <w:p w14:paraId="450AB1C5" w14:textId="77777777" w:rsidR="006C0A29" w:rsidRDefault="002E4EF6" w:rsidP="002E4EF6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3461">
              <w:rPr>
                <w:i/>
                <w:iCs/>
              </w:rPr>
              <w:t>Rekommenderad materialtjocklek: ≥ 0,</w:t>
            </w:r>
            <w:r>
              <w:rPr>
                <w:i/>
                <w:iCs/>
              </w:rPr>
              <w:t>4</w:t>
            </w:r>
            <w:r w:rsidRPr="00533461">
              <w:rPr>
                <w:i/>
                <w:iCs/>
              </w:rPr>
              <w:t xml:space="preserve"> mm</w:t>
            </w:r>
          </w:p>
          <w:p w14:paraId="24ACD6AC" w14:textId="22726514" w:rsidR="002E4EF6" w:rsidRDefault="002E4EF6" w:rsidP="002E4EF6">
            <w:pPr>
              <w:contextualSpacing/>
            </w:pPr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D80698">
              <w:rPr>
                <w:i/>
                <w:iCs/>
              </w:rPr>
              <w:t xml:space="preserve">(fortsättning på sida </w:t>
            </w:r>
            <w:r>
              <w:rPr>
                <w:i/>
                <w:iCs/>
              </w:rPr>
              <w:t>4</w:t>
            </w:r>
            <w:r w:rsidRPr="00D80698">
              <w:rPr>
                <w:i/>
                <w:iCs/>
              </w:rPr>
              <w:t>)</w:t>
            </w:r>
          </w:p>
        </w:tc>
      </w:tr>
    </w:tbl>
    <w:p w14:paraId="5527F653" w14:textId="06A65291" w:rsidR="00375518" w:rsidRDefault="00375518"/>
    <w:p w14:paraId="46508796" w14:textId="1259937D" w:rsidR="00B161AB" w:rsidRPr="005523F8" w:rsidRDefault="00B161AB" w:rsidP="00B161AB">
      <w:pPr>
        <w:contextualSpacing/>
        <w:rPr>
          <w:i/>
          <w:iCs/>
        </w:rPr>
      </w:pPr>
      <w:r>
        <w:rPr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5523F8">
        <w:rPr>
          <w:i/>
          <w:iCs/>
        </w:rPr>
        <w:t xml:space="preserve">Sid </w:t>
      </w:r>
      <w:r>
        <w:rPr>
          <w:i/>
          <w:iCs/>
        </w:rPr>
        <w:t>4</w:t>
      </w:r>
      <w:r w:rsidRPr="005523F8">
        <w:rPr>
          <w:i/>
          <w:iCs/>
        </w:rPr>
        <w:t>/</w:t>
      </w:r>
      <w:r>
        <w:rPr>
          <w:i/>
          <w:iCs/>
        </w:rPr>
        <w:t>7</w:t>
      </w:r>
    </w:p>
    <w:p w14:paraId="1A6E664D" w14:textId="77777777" w:rsidR="00B161AB" w:rsidRPr="00ED34AA" w:rsidRDefault="00B161AB" w:rsidP="00B161AB">
      <w:pPr>
        <w:contextualSpacing/>
        <w:jc w:val="center"/>
        <w:rPr>
          <w:i/>
          <w:iCs/>
          <w:sz w:val="28"/>
          <w:szCs w:val="28"/>
        </w:rPr>
      </w:pPr>
      <w:r w:rsidRPr="00ED34AA">
        <w:rPr>
          <w:i/>
          <w:iCs/>
          <w:sz w:val="28"/>
          <w:szCs w:val="28"/>
        </w:rPr>
        <w:t>Säkerhetsdatablad</w:t>
      </w:r>
    </w:p>
    <w:p w14:paraId="18576587" w14:textId="77777777" w:rsidR="00B161AB" w:rsidRDefault="00B161AB" w:rsidP="00B161AB">
      <w:pPr>
        <w:contextualSpacing/>
        <w:jc w:val="center"/>
        <w:rPr>
          <w:i/>
          <w:iCs/>
          <w:sz w:val="24"/>
          <w:szCs w:val="24"/>
        </w:rPr>
      </w:pPr>
      <w:r w:rsidRPr="00D67CF0">
        <w:rPr>
          <w:i/>
          <w:iCs/>
          <w:sz w:val="24"/>
          <w:szCs w:val="24"/>
        </w:rPr>
        <w:t>enligt 1907/2006/EG, Artikel 31</w:t>
      </w:r>
    </w:p>
    <w:p w14:paraId="6BDE9F71" w14:textId="77777777" w:rsidR="00B161AB" w:rsidRDefault="00B161AB" w:rsidP="00B161AB">
      <w:pPr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4553A6">
        <w:rPr>
          <w:i/>
          <w:iCs/>
          <w:sz w:val="24"/>
          <w:szCs w:val="24"/>
        </w:rPr>
        <w:t>Utskriftsdatum: 2019-0</w:t>
      </w:r>
      <w:r>
        <w:rPr>
          <w:i/>
          <w:iCs/>
          <w:sz w:val="24"/>
          <w:szCs w:val="24"/>
        </w:rPr>
        <w:t>6</w:t>
      </w:r>
      <w:r w:rsidRPr="004553A6">
        <w:rPr>
          <w:i/>
          <w:iCs/>
          <w:sz w:val="24"/>
          <w:szCs w:val="24"/>
        </w:rPr>
        <w:t>-0</w:t>
      </w:r>
      <w:r>
        <w:rPr>
          <w:i/>
          <w:iCs/>
          <w:sz w:val="24"/>
          <w:szCs w:val="24"/>
        </w:rPr>
        <w:t>3</w:t>
      </w:r>
      <w:r w:rsidRPr="004553A6">
        <w:rPr>
          <w:i/>
          <w:iCs/>
          <w:sz w:val="24"/>
          <w:szCs w:val="24"/>
        </w:rPr>
        <w:t xml:space="preserve"> </w:t>
      </w:r>
      <w:r w:rsidRPr="004553A6">
        <w:rPr>
          <w:i/>
          <w:iCs/>
          <w:sz w:val="24"/>
          <w:szCs w:val="24"/>
        </w:rPr>
        <w:tab/>
        <w:t xml:space="preserve">    Version nummer 1                                        Reviderad: 2019-0</w:t>
      </w:r>
      <w:r>
        <w:rPr>
          <w:i/>
          <w:iCs/>
          <w:sz w:val="24"/>
          <w:szCs w:val="24"/>
        </w:rPr>
        <w:t>6</w:t>
      </w:r>
      <w:r w:rsidRPr="004553A6">
        <w:rPr>
          <w:i/>
          <w:iCs/>
          <w:sz w:val="24"/>
          <w:szCs w:val="24"/>
        </w:rPr>
        <w:t>-0</w:t>
      </w:r>
      <w:r>
        <w:rPr>
          <w:i/>
          <w:iCs/>
          <w:sz w:val="24"/>
          <w:szCs w:val="24"/>
        </w:rPr>
        <w:t>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6574" w14:paraId="395DE3B8" w14:textId="77777777" w:rsidTr="00EE6574">
        <w:tc>
          <w:tcPr>
            <w:tcW w:w="10456" w:type="dxa"/>
          </w:tcPr>
          <w:p w14:paraId="236D763E" w14:textId="03AB3603" w:rsidR="00EE6574" w:rsidRDefault="00EE6574">
            <w:r w:rsidRPr="003E67E3">
              <w:rPr>
                <w:rFonts w:cstheme="minorHAnsi"/>
                <w:i/>
                <w:iCs/>
              </w:rPr>
              <w:t xml:space="preserve">Handelsnamn: </w:t>
            </w:r>
            <w:r w:rsidRPr="004F1E75">
              <w:rPr>
                <w:rFonts w:cstheme="minorHAnsi"/>
                <w:i/>
                <w:iCs/>
              </w:rPr>
              <w:t xml:space="preserve">Trixie </w:t>
            </w:r>
            <w:r>
              <w:rPr>
                <w:rFonts w:cstheme="minorHAnsi"/>
                <w:i/>
                <w:iCs/>
              </w:rPr>
              <w:t>Torrschampo</w:t>
            </w:r>
          </w:p>
        </w:tc>
      </w:tr>
      <w:tr w:rsidR="00EE6574" w14:paraId="2E46E39D" w14:textId="77777777" w:rsidTr="00EE6574">
        <w:tc>
          <w:tcPr>
            <w:tcW w:w="10456" w:type="dxa"/>
          </w:tcPr>
          <w:p w14:paraId="3F041796" w14:textId="51861CD8" w:rsidR="00EE6574" w:rsidRDefault="00EE6574" w:rsidP="00EE6574">
            <w:pPr>
              <w:contextualSpacing/>
              <w:rPr>
                <w:i/>
                <w:iCs/>
              </w:rPr>
            </w:pPr>
            <w:r w:rsidRPr="00E173FA">
              <w:rPr>
                <w:i/>
                <w:iCs/>
              </w:rPr>
              <w:t xml:space="preserve">                                                       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</w:t>
            </w:r>
            <w:r w:rsidRPr="00E173FA">
              <w:rPr>
                <w:i/>
                <w:iCs/>
              </w:rPr>
              <w:t xml:space="preserve"> (fortsättning från sida</w:t>
            </w:r>
            <w:r>
              <w:rPr>
                <w:i/>
                <w:iCs/>
              </w:rPr>
              <w:t xml:space="preserve"> 3</w:t>
            </w:r>
            <w:r w:rsidRPr="00E173FA">
              <w:rPr>
                <w:i/>
                <w:iCs/>
              </w:rPr>
              <w:t>)</w:t>
            </w:r>
          </w:p>
          <w:p w14:paraId="2ED8B375" w14:textId="7E0FCBA3" w:rsidR="00EE6574" w:rsidRPr="00533461" w:rsidRDefault="00EE6574" w:rsidP="00EE6574">
            <w:pPr>
              <w:contextualSpacing/>
              <w:rPr>
                <w:i/>
                <w:iCs/>
              </w:rPr>
            </w:pPr>
            <w:r w:rsidRPr="00533461">
              <w:rPr>
                <w:i/>
                <w:iCs/>
              </w:rPr>
              <w:t>Genombrottstid: ≥ 480 minuter (</w:t>
            </w:r>
            <w:proofErr w:type="spellStart"/>
            <w:r w:rsidRPr="00533461">
              <w:rPr>
                <w:i/>
                <w:iCs/>
              </w:rPr>
              <w:t>permeation</w:t>
            </w:r>
            <w:proofErr w:type="spellEnd"/>
            <w:r w:rsidRPr="00533461">
              <w:rPr>
                <w:i/>
                <w:iCs/>
              </w:rPr>
              <w:t xml:space="preserve"> enligt EN 374 Del 3: Nivå 6)</w:t>
            </w:r>
          </w:p>
          <w:p w14:paraId="33E9C500" w14:textId="77777777" w:rsidR="00EE6574" w:rsidRDefault="00EE6574" w:rsidP="00EE6574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3461">
              <w:rPr>
                <w:i/>
                <w:iCs/>
              </w:rPr>
              <w:t xml:space="preserve">Valet av en lämplig handske baseras inte </w:t>
            </w:r>
            <w:r>
              <w:rPr>
                <w:i/>
                <w:iCs/>
              </w:rPr>
              <w:t>enbart</w:t>
            </w:r>
            <w:r w:rsidRPr="00533461">
              <w:rPr>
                <w:i/>
                <w:iCs/>
              </w:rPr>
              <w:t xml:space="preserve"> på materialet utan</w:t>
            </w:r>
            <w:r>
              <w:rPr>
                <w:i/>
                <w:iCs/>
              </w:rPr>
              <w:t xml:space="preserve"> beror även på </w:t>
            </w:r>
            <w:r w:rsidRPr="00FC63BD">
              <w:rPr>
                <w:i/>
                <w:iCs/>
              </w:rPr>
              <w:t>kvalitetsegenskaper och</w:t>
            </w:r>
          </w:p>
          <w:p w14:paraId="21A85C61" w14:textId="2B891197" w:rsidR="00EE6574" w:rsidRDefault="00EE6574" w:rsidP="00EE6574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FC63BD">
              <w:rPr>
                <w:i/>
                <w:iCs/>
              </w:rPr>
              <w:t>varierar från tillverkare till tillverkare</w:t>
            </w:r>
            <w:r>
              <w:rPr>
                <w:i/>
                <w:iCs/>
              </w:rPr>
              <w:t xml:space="preserve">. </w:t>
            </w:r>
            <w:r w:rsidRPr="00FC63BD">
              <w:rPr>
                <w:i/>
                <w:iCs/>
              </w:rPr>
              <w:t xml:space="preserve">Eftersom produkten är en blandning av flera ämnen kan </w:t>
            </w:r>
          </w:p>
          <w:p w14:paraId="4A695796" w14:textId="5CB51EC8" w:rsidR="00EE6574" w:rsidRPr="00533461" w:rsidRDefault="00EE6574" w:rsidP="00EE6574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FC63BD">
              <w:rPr>
                <w:i/>
                <w:iCs/>
              </w:rPr>
              <w:t>handskmaterialens</w:t>
            </w:r>
            <w:r>
              <w:rPr>
                <w:i/>
                <w:iCs/>
              </w:rPr>
              <w:t xml:space="preserve">  </w:t>
            </w:r>
            <w:r w:rsidRPr="00FC63BD">
              <w:rPr>
                <w:i/>
                <w:iCs/>
              </w:rPr>
              <w:t>beständighet inte beräknas i förväg och måste därför kontrolleras före användning.</w:t>
            </w:r>
          </w:p>
          <w:p w14:paraId="4651E54A" w14:textId="77777777" w:rsidR="00EE6574" w:rsidRPr="00533461" w:rsidRDefault="00EE6574" w:rsidP="00EE6574">
            <w:pPr>
              <w:contextualSpacing/>
              <w:rPr>
                <w:i/>
                <w:iCs/>
              </w:rPr>
            </w:pPr>
            <w:r w:rsidRPr="00533461">
              <w:rPr>
                <w:i/>
                <w:iCs/>
              </w:rPr>
              <w:t>· Handskmaterialets penetrationstid</w:t>
            </w:r>
            <w:r>
              <w:rPr>
                <w:i/>
                <w:iCs/>
              </w:rPr>
              <w:t>:</w:t>
            </w:r>
          </w:p>
          <w:p w14:paraId="4ED632E1" w14:textId="77777777" w:rsidR="00EE6574" w:rsidRPr="00533461" w:rsidRDefault="00EE6574" w:rsidP="00EE6574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3461">
              <w:rPr>
                <w:i/>
                <w:iCs/>
              </w:rPr>
              <w:t>Den exakta genombrottstiden kan fås från tillverkaren av skyddshandskarna och måste följas.</w:t>
            </w:r>
          </w:p>
          <w:p w14:paraId="0A6ACA44" w14:textId="77777777" w:rsidR="00EE6574" w:rsidRDefault="00EE6574" w:rsidP="00EE6574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533461">
              <w:rPr>
                <w:i/>
                <w:iCs/>
              </w:rPr>
              <w:t xml:space="preserve">Genombrottstiderna bestämda enligt EN 374 del III är inte </w:t>
            </w:r>
            <w:r>
              <w:rPr>
                <w:i/>
                <w:iCs/>
              </w:rPr>
              <w:t xml:space="preserve">utförd </w:t>
            </w:r>
            <w:r w:rsidRPr="00533461">
              <w:rPr>
                <w:i/>
                <w:iCs/>
              </w:rPr>
              <w:t>under praktiska förhållanden.</w:t>
            </w:r>
          </w:p>
          <w:p w14:paraId="4294E2D9" w14:textId="725E0F2A" w:rsidR="00EE6574" w:rsidRPr="00533461" w:rsidRDefault="00EE6574" w:rsidP="00EE6574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533461">
              <w:rPr>
                <w:i/>
                <w:iCs/>
              </w:rPr>
              <w:t xml:space="preserve"> En maximal bärtid som motsvarar 50 % av genombrottstiden rekommenderas därför.</w:t>
            </w:r>
          </w:p>
          <w:p w14:paraId="2A855D35" w14:textId="77777777" w:rsidR="00EE6574" w:rsidRPr="00EE6574" w:rsidRDefault="00EE6574" w:rsidP="00EE6574">
            <w:pPr>
              <w:spacing w:after="0" w:line="240" w:lineRule="auto"/>
              <w:contextualSpacing/>
              <w:rPr>
                <w:i/>
                <w:iCs/>
              </w:rPr>
            </w:pPr>
            <w:r w:rsidRPr="00533461">
              <w:rPr>
                <w:i/>
                <w:iCs/>
              </w:rPr>
              <w:t xml:space="preserve">· Ögonskydd: </w:t>
            </w:r>
            <w:r w:rsidRPr="00EE6574">
              <w:rPr>
                <w:i/>
                <w:iCs/>
              </w:rPr>
              <w:t>Skyddsglasögon rekommenderas vid påfyllning.</w:t>
            </w:r>
          </w:p>
          <w:p w14:paraId="64CF86C1" w14:textId="753AD069" w:rsidR="00EE6574" w:rsidRPr="00533461" w:rsidRDefault="00EE6574" w:rsidP="00EE6574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EE6574">
              <w:rPr>
                <w:i/>
                <w:iCs/>
              </w:rPr>
              <w:t>Skyddsglasögon bör uppfylla DIN EN 166 eller liknande standard.</w:t>
            </w:r>
          </w:p>
          <w:p w14:paraId="61F5D059" w14:textId="087197D9" w:rsidR="00EE6574" w:rsidRDefault="00EE6574" w:rsidP="00EE6574">
            <w:r w:rsidRPr="00533461">
              <w:rPr>
                <w:i/>
                <w:iCs/>
              </w:rPr>
              <w:t>· Kroppsskydd: Lätta skyddskläder</w:t>
            </w:r>
          </w:p>
        </w:tc>
      </w:tr>
      <w:tr w:rsidR="00EE6574" w14:paraId="642F91B4" w14:textId="77777777" w:rsidTr="00EE6574">
        <w:tc>
          <w:tcPr>
            <w:tcW w:w="10456" w:type="dxa"/>
          </w:tcPr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5112"/>
              <w:gridCol w:w="5112"/>
              <w:gridCol w:w="6"/>
            </w:tblGrid>
            <w:tr w:rsidR="00EE6574" w14:paraId="74CF84D4" w14:textId="77777777" w:rsidTr="00F55A1B">
              <w:tc>
                <w:tcPr>
                  <w:tcW w:w="10230" w:type="dxa"/>
                  <w:gridSpan w:val="3"/>
                </w:tcPr>
                <w:p w14:paraId="6F358F83" w14:textId="77777777" w:rsidR="00EE6574" w:rsidRDefault="00EE6574" w:rsidP="00EE6574">
                  <w:pPr>
                    <w:contextualSpacing/>
                    <w:rPr>
                      <w:i/>
                      <w:iCs/>
                      <w:sz w:val="24"/>
                      <w:szCs w:val="24"/>
                    </w:rPr>
                  </w:pPr>
                  <w:r w:rsidRPr="00574764">
                    <w:rPr>
                      <w:b/>
                      <w:bCs/>
                      <w:i/>
                      <w:iCs/>
                      <w:color w:val="FFFFFF" w:themeColor="background1"/>
                      <w:sz w:val="28"/>
                      <w:szCs w:val="28"/>
                      <w:highlight w:val="blue"/>
                    </w:rPr>
                    <w:t>AVSNITT 9: Fysikaliska och kemiska egenskaper</w:t>
                  </w:r>
                </w:p>
              </w:tc>
            </w:tr>
            <w:tr w:rsidR="00EE6574" w:rsidRPr="00574764" w14:paraId="25A1671A" w14:textId="77777777" w:rsidTr="00F55A1B">
              <w:tc>
                <w:tcPr>
                  <w:tcW w:w="10230" w:type="dxa"/>
                  <w:gridSpan w:val="3"/>
                </w:tcPr>
                <w:p w14:paraId="5827BD1D" w14:textId="77777777" w:rsidR="00EE6574" w:rsidRPr="00574764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574764">
                    <w:rPr>
                      <w:i/>
                      <w:iCs/>
                    </w:rPr>
                    <w:t>· 9.1 Information om grundläggande fysikaliska och kemiska egenskaper</w:t>
                  </w:r>
                </w:p>
                <w:p w14:paraId="078EE45F" w14:textId="77777777" w:rsidR="00EE6574" w:rsidRPr="00574764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574764">
                    <w:rPr>
                      <w:i/>
                      <w:iCs/>
                    </w:rPr>
                    <w:t>· Allmän information</w:t>
                  </w:r>
                  <w:r>
                    <w:rPr>
                      <w:i/>
                      <w:iCs/>
                    </w:rPr>
                    <w:t>:</w:t>
                  </w:r>
                </w:p>
                <w:p w14:paraId="0FDBB408" w14:textId="77777777" w:rsidR="00EE6574" w:rsidRPr="00574764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574764">
                    <w:rPr>
                      <w:i/>
                      <w:iCs/>
                    </w:rPr>
                    <w:t>· Utseende:</w:t>
                  </w:r>
                </w:p>
                <w:p w14:paraId="7A964E20" w14:textId="6B62008D" w:rsidR="00EE6574" w:rsidRPr="00574764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574764">
                    <w:rPr>
                      <w:i/>
                      <w:iCs/>
                    </w:rPr>
                    <w:t xml:space="preserve">    Form:                                                            </w:t>
                  </w:r>
                  <w:r>
                    <w:rPr>
                      <w:i/>
                      <w:iCs/>
                    </w:rPr>
                    <w:t>Pulver</w:t>
                  </w:r>
                </w:p>
                <w:p w14:paraId="73401CCE" w14:textId="77777777" w:rsidR="00EE6574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574764">
                    <w:rPr>
                      <w:i/>
                      <w:iCs/>
                    </w:rPr>
                    <w:t xml:space="preserve">    Färg:                                                             </w:t>
                  </w:r>
                  <w:r>
                    <w:rPr>
                      <w:i/>
                      <w:iCs/>
                    </w:rPr>
                    <w:t>Vit</w:t>
                  </w:r>
                </w:p>
                <w:p w14:paraId="7D9DFC59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Lukt:</w:t>
                  </w:r>
                  <w:r>
                    <w:rPr>
                      <w:i/>
                      <w:iCs/>
                    </w:rPr>
                    <w:t xml:space="preserve">                                                               Parfymerad</w:t>
                  </w:r>
                  <w:r w:rsidRPr="00EE4CA0">
                    <w:rPr>
                      <w:i/>
                      <w:iCs/>
                    </w:rPr>
                    <w:t xml:space="preserve"> </w:t>
                  </w:r>
                </w:p>
                <w:p w14:paraId="30E6E9BB" w14:textId="77777777" w:rsidR="00EE6574" w:rsidRPr="00574764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Lukttröskel:</w:t>
                  </w:r>
                  <w:r>
                    <w:rPr>
                      <w:i/>
                      <w:iCs/>
                    </w:rPr>
                    <w:t xml:space="preserve">                                                   Ej fastställd</w:t>
                  </w:r>
                </w:p>
              </w:tc>
            </w:tr>
            <w:tr w:rsidR="00EE6574" w:rsidRPr="00EE4CA0" w14:paraId="59B69965" w14:textId="77777777" w:rsidTr="00F55A1B">
              <w:tblPrEx>
                <w:tblBorders>
                  <w:insideV w:val="none" w:sz="0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5112" w:type="dxa"/>
                </w:tcPr>
                <w:p w14:paraId="53E2EC44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pH-värde vid 20 °C:</w:t>
                  </w:r>
                </w:p>
              </w:tc>
              <w:tc>
                <w:tcPr>
                  <w:tcW w:w="5112" w:type="dxa"/>
                </w:tcPr>
                <w:p w14:paraId="438ED60D" w14:textId="1C209C51" w:rsidR="00EE6574" w:rsidRPr="00EE4CA0" w:rsidRDefault="00391793" w:rsidP="00EE6574">
                  <w:pPr>
                    <w:contextualSpacing/>
                    <w:rPr>
                      <w:i/>
                      <w:iCs/>
                    </w:rPr>
                  </w:pPr>
                  <w:r w:rsidRPr="00391793">
                    <w:rPr>
                      <w:i/>
                      <w:iCs/>
                    </w:rPr>
                    <w:t>~9 (5 %, vattensuspension)</w:t>
                  </w:r>
                </w:p>
              </w:tc>
            </w:tr>
            <w:tr w:rsidR="00EE6574" w:rsidRPr="00EE4CA0" w14:paraId="70CBB9FD" w14:textId="77777777" w:rsidTr="00F55A1B">
              <w:tblPrEx>
                <w:tblBorders>
                  <w:insideV w:val="none" w:sz="0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5112" w:type="dxa"/>
                </w:tcPr>
                <w:p w14:paraId="4D27AE61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Statsförändring</w:t>
                  </w:r>
                </w:p>
                <w:p w14:paraId="06598E4B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 xml:space="preserve">  Smältpunkt/fryspunkt:</w:t>
                  </w:r>
                </w:p>
                <w:p w14:paraId="34B47890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 xml:space="preserve">  Initial kokpunkt och kokområde:</w:t>
                  </w:r>
                </w:p>
              </w:tc>
              <w:tc>
                <w:tcPr>
                  <w:tcW w:w="5112" w:type="dxa"/>
                </w:tcPr>
                <w:p w14:paraId="0A81F153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</w:p>
                <w:p w14:paraId="3613BBCB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Ej fastställd.</w:t>
                  </w:r>
                </w:p>
                <w:p w14:paraId="2E182EE4" w14:textId="7CBDE631" w:rsidR="00EE6574" w:rsidRPr="00EE4CA0" w:rsidRDefault="00391793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Ej fastställd.</w:t>
                  </w:r>
                </w:p>
              </w:tc>
            </w:tr>
            <w:tr w:rsidR="00EE6574" w:rsidRPr="00EE4CA0" w14:paraId="754286FC" w14:textId="77777777" w:rsidTr="00F55A1B">
              <w:tblPrEx>
                <w:tblBorders>
                  <w:insideV w:val="none" w:sz="0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5112" w:type="dxa"/>
                </w:tcPr>
                <w:p w14:paraId="52AB24F5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Flampunkt:</w:t>
                  </w:r>
                </w:p>
              </w:tc>
              <w:tc>
                <w:tcPr>
                  <w:tcW w:w="5112" w:type="dxa"/>
                </w:tcPr>
                <w:p w14:paraId="0AB5A333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Ej tillämpbar.</w:t>
                  </w:r>
                </w:p>
              </w:tc>
            </w:tr>
            <w:tr w:rsidR="00EE6574" w:rsidRPr="00EE4CA0" w14:paraId="292328CC" w14:textId="77777777" w:rsidTr="00F55A1B">
              <w:tblPrEx>
                <w:tblBorders>
                  <w:insideV w:val="none" w:sz="0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5112" w:type="dxa"/>
                </w:tcPr>
                <w:p w14:paraId="144158E0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Brandfarlighet (fast, gasformig):</w:t>
                  </w:r>
                </w:p>
              </w:tc>
              <w:tc>
                <w:tcPr>
                  <w:tcW w:w="5112" w:type="dxa"/>
                </w:tcPr>
                <w:p w14:paraId="29FB4F6F" w14:textId="306142F5" w:rsidR="00EE6574" w:rsidRPr="00EE4CA0" w:rsidRDefault="00391793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Ej fastställd</w:t>
                  </w:r>
                  <w:r w:rsidR="00EE6574" w:rsidRPr="00EE4CA0">
                    <w:rPr>
                      <w:i/>
                      <w:iCs/>
                    </w:rPr>
                    <w:t>.</w:t>
                  </w:r>
                </w:p>
              </w:tc>
            </w:tr>
            <w:tr w:rsidR="00EE6574" w:rsidRPr="00EE4CA0" w14:paraId="5FFD562F" w14:textId="77777777" w:rsidTr="00F55A1B">
              <w:tblPrEx>
                <w:tblBorders>
                  <w:insideV w:val="none" w:sz="0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5112" w:type="dxa"/>
                </w:tcPr>
                <w:p w14:paraId="44E0DAEC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Nedbrytningstemperatur:</w:t>
                  </w:r>
                </w:p>
              </w:tc>
              <w:tc>
                <w:tcPr>
                  <w:tcW w:w="5112" w:type="dxa"/>
                </w:tcPr>
                <w:p w14:paraId="013B6E26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Ej fastställd.</w:t>
                  </w:r>
                </w:p>
              </w:tc>
            </w:tr>
            <w:tr w:rsidR="00EE6574" w:rsidRPr="00EE4CA0" w14:paraId="633AC26E" w14:textId="77777777" w:rsidTr="00F55A1B">
              <w:tblPrEx>
                <w:tblBorders>
                  <w:insideV w:val="none" w:sz="0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5112" w:type="dxa"/>
                </w:tcPr>
                <w:p w14:paraId="14E033A0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Självantändningstemperatur:</w:t>
                  </w:r>
                </w:p>
              </w:tc>
              <w:tc>
                <w:tcPr>
                  <w:tcW w:w="5112" w:type="dxa"/>
                </w:tcPr>
                <w:p w14:paraId="78294B4D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Produkten är inte självantändande.</w:t>
                  </w:r>
                </w:p>
              </w:tc>
            </w:tr>
            <w:tr w:rsidR="00EE6574" w:rsidRPr="00EE4CA0" w14:paraId="6507891E" w14:textId="77777777" w:rsidTr="00F55A1B">
              <w:tblPrEx>
                <w:tblBorders>
                  <w:insideV w:val="none" w:sz="0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5112" w:type="dxa"/>
                </w:tcPr>
                <w:p w14:paraId="6041E0BB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Explosiva egenskaper:</w:t>
                  </w:r>
                </w:p>
              </w:tc>
              <w:tc>
                <w:tcPr>
                  <w:tcW w:w="5112" w:type="dxa"/>
                </w:tcPr>
                <w:p w14:paraId="5A575FEA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Produkten är inte explosiv.</w:t>
                  </w:r>
                </w:p>
              </w:tc>
            </w:tr>
            <w:tr w:rsidR="00EE6574" w:rsidRPr="00EE4CA0" w14:paraId="2C33209F" w14:textId="77777777" w:rsidTr="00F55A1B">
              <w:tblPrEx>
                <w:tblBorders>
                  <w:insideV w:val="none" w:sz="0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5112" w:type="dxa"/>
                </w:tcPr>
                <w:p w14:paraId="6D24406D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Explosionsgränser:</w:t>
                  </w:r>
                </w:p>
                <w:p w14:paraId="22C89175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 xml:space="preserve">  Nedre:</w:t>
                  </w:r>
                </w:p>
                <w:p w14:paraId="0380F2B9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 xml:space="preserve">  Övre: </w:t>
                  </w:r>
                </w:p>
                <w:p w14:paraId="04EC660C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Oxiderande egenskaper:</w:t>
                  </w:r>
                </w:p>
              </w:tc>
              <w:tc>
                <w:tcPr>
                  <w:tcW w:w="5112" w:type="dxa"/>
                </w:tcPr>
                <w:p w14:paraId="7C138EBB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</w:p>
                <w:p w14:paraId="15579ADD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Ej ​​fastställd.</w:t>
                  </w:r>
                </w:p>
                <w:p w14:paraId="5CDCDEBC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Ej ​​fastställd.</w:t>
                  </w:r>
                </w:p>
                <w:p w14:paraId="2059B2F5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Ej tillämpbar.</w:t>
                  </w:r>
                </w:p>
              </w:tc>
            </w:tr>
            <w:tr w:rsidR="00EE6574" w:rsidRPr="00EE4CA0" w14:paraId="56D87AD9" w14:textId="77777777" w:rsidTr="00F55A1B">
              <w:tblPrEx>
                <w:tblBorders>
                  <w:insideV w:val="none" w:sz="0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5112" w:type="dxa"/>
                </w:tcPr>
                <w:p w14:paraId="40772F68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Ångtryck:</w:t>
                  </w:r>
                </w:p>
              </w:tc>
              <w:tc>
                <w:tcPr>
                  <w:tcW w:w="5112" w:type="dxa"/>
                </w:tcPr>
                <w:p w14:paraId="376272BC" w14:textId="3C07FE75" w:rsidR="00EE6574" w:rsidRPr="00EE4CA0" w:rsidRDefault="00391793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Ej tillämpbar.</w:t>
                  </w:r>
                </w:p>
              </w:tc>
            </w:tr>
            <w:tr w:rsidR="00EE6574" w:rsidRPr="00EE4CA0" w14:paraId="56EA15C0" w14:textId="77777777" w:rsidTr="00F55A1B">
              <w:tblPrEx>
                <w:tblBorders>
                  <w:insideV w:val="none" w:sz="0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5112" w:type="dxa"/>
                </w:tcPr>
                <w:p w14:paraId="49EDCDE5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 xml:space="preserve">· Densitet vid 20 °C: </w:t>
                  </w:r>
                </w:p>
                <w:p w14:paraId="430095B8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 xml:space="preserve">· Relativ densitet: </w:t>
                  </w:r>
                </w:p>
                <w:p w14:paraId="087C9148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Ångdensitet:</w:t>
                  </w:r>
                </w:p>
                <w:p w14:paraId="2DDE3E0A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 xml:space="preserve">· Avdunstningshastighet: </w:t>
                  </w:r>
                </w:p>
              </w:tc>
              <w:tc>
                <w:tcPr>
                  <w:tcW w:w="5112" w:type="dxa"/>
                </w:tcPr>
                <w:p w14:paraId="2E5E7B55" w14:textId="77777777" w:rsidR="00391793" w:rsidRDefault="00391793" w:rsidP="00EE6574">
                  <w:pPr>
                    <w:contextualSpacing/>
                    <w:rPr>
                      <w:i/>
                      <w:iCs/>
                    </w:rPr>
                  </w:pPr>
                  <w:r w:rsidRPr="00391793">
                    <w:rPr>
                      <w:i/>
                      <w:iCs/>
                    </w:rPr>
                    <w:t>~2,7 g/cm³</w:t>
                  </w:r>
                </w:p>
                <w:p w14:paraId="68D8C1C0" w14:textId="3880558B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Ej fastställd.</w:t>
                  </w:r>
                </w:p>
                <w:p w14:paraId="5882DB62" w14:textId="77777777" w:rsidR="00391793" w:rsidRDefault="00391793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Ej tillämpbar.</w:t>
                  </w:r>
                </w:p>
                <w:p w14:paraId="7FD62F86" w14:textId="0AD5CDBC" w:rsidR="00EE6574" w:rsidRPr="00EE4CA0" w:rsidRDefault="00391793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Ej tillämpbar.</w:t>
                  </w:r>
                </w:p>
              </w:tc>
            </w:tr>
            <w:tr w:rsidR="00EE6574" w:rsidRPr="00EE4CA0" w14:paraId="3F512BD6" w14:textId="77777777" w:rsidTr="00F55A1B">
              <w:tblPrEx>
                <w:tblBorders>
                  <w:insideV w:val="none" w:sz="0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5112" w:type="dxa"/>
                </w:tcPr>
                <w:p w14:paraId="6D513A25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Löslighet i / blandbarhet med Vatten:</w:t>
                  </w:r>
                </w:p>
              </w:tc>
              <w:tc>
                <w:tcPr>
                  <w:tcW w:w="5112" w:type="dxa"/>
                </w:tcPr>
                <w:p w14:paraId="60307DA6" w14:textId="1E1E04C2" w:rsidR="00EE6574" w:rsidRPr="00EE4CA0" w:rsidRDefault="00391793" w:rsidP="00EE6574">
                  <w:pPr>
                    <w:contextualSpacing/>
                    <w:rPr>
                      <w:i/>
                      <w:iCs/>
                    </w:rPr>
                  </w:pPr>
                  <w:proofErr w:type="spellStart"/>
                  <w:r w:rsidRPr="00391793">
                    <w:rPr>
                      <w:i/>
                      <w:iCs/>
                    </w:rPr>
                    <w:t>Oblandbar</w:t>
                  </w:r>
                  <w:proofErr w:type="spellEnd"/>
                  <w:r w:rsidRPr="00391793">
                    <w:rPr>
                      <w:i/>
                      <w:iCs/>
                    </w:rPr>
                    <w:t xml:space="preserve"> eller </w:t>
                  </w:r>
                  <w:r>
                    <w:rPr>
                      <w:i/>
                      <w:iCs/>
                    </w:rPr>
                    <w:t xml:space="preserve">endast </w:t>
                  </w:r>
                  <w:r w:rsidRPr="00391793">
                    <w:rPr>
                      <w:i/>
                      <w:iCs/>
                    </w:rPr>
                    <w:t>lätt blandbar.</w:t>
                  </w:r>
                </w:p>
              </w:tc>
            </w:tr>
            <w:tr w:rsidR="00EE6574" w:rsidRPr="00EE4CA0" w14:paraId="284B2AD8" w14:textId="77777777" w:rsidTr="00F55A1B">
              <w:tblPrEx>
                <w:tblBorders>
                  <w:insideV w:val="none" w:sz="0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5112" w:type="dxa"/>
                </w:tcPr>
                <w:p w14:paraId="280B851D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Fördelningskoefficient: n-</w:t>
                  </w:r>
                  <w:proofErr w:type="spellStart"/>
                  <w:r w:rsidRPr="00EE4CA0">
                    <w:rPr>
                      <w:i/>
                      <w:iCs/>
                    </w:rPr>
                    <w:t>Oktanol</w:t>
                  </w:r>
                  <w:proofErr w:type="spellEnd"/>
                  <w:r w:rsidRPr="00EE4CA0">
                    <w:rPr>
                      <w:i/>
                      <w:iCs/>
                    </w:rPr>
                    <w:t>/Vatten:</w:t>
                  </w:r>
                </w:p>
              </w:tc>
              <w:tc>
                <w:tcPr>
                  <w:tcW w:w="5112" w:type="dxa"/>
                </w:tcPr>
                <w:p w14:paraId="5CFE713D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Ej fastställd.</w:t>
                  </w:r>
                </w:p>
              </w:tc>
            </w:tr>
            <w:tr w:rsidR="00EE6574" w:rsidRPr="00EE4CA0" w14:paraId="6D8328DF" w14:textId="77777777" w:rsidTr="00F55A1B">
              <w:tblPrEx>
                <w:tblBorders>
                  <w:insideV w:val="none" w:sz="0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5112" w:type="dxa"/>
                </w:tcPr>
                <w:p w14:paraId="66B779B5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Viskositet:</w:t>
                  </w:r>
                </w:p>
                <w:p w14:paraId="27C4FB68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 xml:space="preserve">    Dynamisk:</w:t>
                  </w:r>
                </w:p>
                <w:p w14:paraId="4AED98C7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 xml:space="preserve">    </w:t>
                  </w:r>
                  <w:proofErr w:type="spellStart"/>
                  <w:r w:rsidRPr="00EE4CA0">
                    <w:rPr>
                      <w:i/>
                      <w:iCs/>
                    </w:rPr>
                    <w:t>Kinematisk</w:t>
                  </w:r>
                  <w:proofErr w:type="spellEnd"/>
                  <w:r w:rsidRPr="00EE4CA0">
                    <w:rPr>
                      <w:i/>
                      <w:iCs/>
                    </w:rPr>
                    <w:t>:</w:t>
                  </w:r>
                </w:p>
              </w:tc>
              <w:tc>
                <w:tcPr>
                  <w:tcW w:w="5112" w:type="dxa"/>
                </w:tcPr>
                <w:p w14:paraId="180AD586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</w:p>
                <w:p w14:paraId="72AE373D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Ej fastställd.</w:t>
                  </w:r>
                </w:p>
                <w:p w14:paraId="208A1CE4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Ej fastställd.</w:t>
                  </w:r>
                </w:p>
              </w:tc>
            </w:tr>
            <w:tr w:rsidR="00EE6574" w:rsidRPr="00EE4CA0" w14:paraId="33D50973" w14:textId="77777777" w:rsidTr="00F55A1B">
              <w:tblPrEx>
                <w:tblBorders>
                  <w:insideV w:val="none" w:sz="0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5112" w:type="dxa"/>
                </w:tcPr>
                <w:p w14:paraId="5BC3EF3E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Lösningsmedelsinnehåll:</w:t>
                  </w:r>
                </w:p>
                <w:p w14:paraId="06BDFDA9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 xml:space="preserve">    Organiska lösningsmedel:</w:t>
                  </w:r>
                </w:p>
              </w:tc>
              <w:tc>
                <w:tcPr>
                  <w:tcW w:w="5112" w:type="dxa"/>
                </w:tcPr>
                <w:p w14:paraId="41B8F198" w14:textId="77777777" w:rsidR="00EE6574" w:rsidRPr="00EE4CA0" w:rsidRDefault="00EE6574" w:rsidP="00EE6574">
                  <w:pPr>
                    <w:contextualSpacing/>
                    <w:rPr>
                      <w:i/>
                      <w:iCs/>
                    </w:rPr>
                  </w:pPr>
                </w:p>
                <w:p w14:paraId="6F192CB5" w14:textId="350C9030" w:rsidR="00EE6574" w:rsidRPr="00EE4CA0" w:rsidRDefault="00391793" w:rsidP="00EE6574">
                  <w:pPr>
                    <w:contextualSpacing/>
                    <w:rPr>
                      <w:i/>
                      <w:iCs/>
                    </w:rPr>
                  </w:pPr>
                  <w:r w:rsidRPr="00391793">
                    <w:rPr>
                      <w:i/>
                      <w:iCs/>
                    </w:rPr>
                    <w:t>&lt; 1 %</w:t>
                  </w:r>
                </w:p>
              </w:tc>
            </w:tr>
            <w:tr w:rsidR="00BE14FB" w:rsidRPr="00EE4CA0" w14:paraId="1FEADAA1" w14:textId="77777777" w:rsidTr="00F55A1B">
              <w:tblPrEx>
                <w:tblBorders>
                  <w:insideV w:val="none" w:sz="0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5112" w:type="dxa"/>
                </w:tcPr>
                <w:p w14:paraId="0198097B" w14:textId="77777777" w:rsidR="00BE14FB" w:rsidRPr="00EE4CA0" w:rsidRDefault="00BE14FB" w:rsidP="00BE14FB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 xml:space="preserve">    Fast innehåll:</w:t>
                  </w:r>
                </w:p>
                <w:p w14:paraId="3752CE70" w14:textId="40B0697B" w:rsidR="00BE14FB" w:rsidRPr="00EE4CA0" w:rsidRDefault="00BE14FB" w:rsidP="00BE14FB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· 9.2 Annan information:</w:t>
                  </w:r>
                </w:p>
              </w:tc>
              <w:tc>
                <w:tcPr>
                  <w:tcW w:w="5112" w:type="dxa"/>
                </w:tcPr>
                <w:p w14:paraId="72CF67A4" w14:textId="77777777" w:rsidR="00BE14FB" w:rsidRDefault="00BE14FB" w:rsidP="00BE14FB">
                  <w:pPr>
                    <w:contextualSpacing/>
                    <w:rPr>
                      <w:i/>
                      <w:iCs/>
                    </w:rPr>
                  </w:pPr>
                  <w:r w:rsidRPr="00BE14FB">
                    <w:rPr>
                      <w:i/>
                      <w:iCs/>
                    </w:rPr>
                    <w:t>&gt; 95%</w:t>
                  </w:r>
                </w:p>
                <w:p w14:paraId="7EC67E5E" w14:textId="10499B16" w:rsidR="00BE14FB" w:rsidRPr="00EE4CA0" w:rsidRDefault="00BE14FB" w:rsidP="00BE14FB">
                  <w:pPr>
                    <w:contextualSpacing/>
                    <w:rPr>
                      <w:i/>
                      <w:iCs/>
                    </w:rPr>
                  </w:pPr>
                  <w:r w:rsidRPr="00EE4CA0">
                    <w:rPr>
                      <w:i/>
                      <w:iCs/>
                    </w:rPr>
                    <w:t>Ingen ytterligare relevant information finns till förfogande.</w:t>
                  </w:r>
                </w:p>
              </w:tc>
            </w:tr>
          </w:tbl>
          <w:p w14:paraId="7096CC7C" w14:textId="5156EAB1" w:rsidR="00EE6574" w:rsidRDefault="00391793"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D80698">
              <w:rPr>
                <w:i/>
                <w:iCs/>
              </w:rPr>
              <w:t xml:space="preserve">(fortsättning på sida </w:t>
            </w:r>
            <w:r>
              <w:rPr>
                <w:i/>
                <w:iCs/>
              </w:rPr>
              <w:t>5</w:t>
            </w:r>
            <w:r w:rsidRPr="00D80698">
              <w:rPr>
                <w:i/>
                <w:iCs/>
              </w:rPr>
              <w:t>)</w:t>
            </w:r>
          </w:p>
        </w:tc>
      </w:tr>
    </w:tbl>
    <w:p w14:paraId="3B663E75" w14:textId="5BCF621B" w:rsidR="009F0FD3" w:rsidRDefault="009F0FD3">
      <w:r>
        <w:t xml:space="preserve"> </w:t>
      </w:r>
    </w:p>
    <w:p w14:paraId="469429D7" w14:textId="48FBC229" w:rsidR="009F0FD3" w:rsidRPr="005523F8" w:rsidRDefault="009F0FD3" w:rsidP="009F0FD3">
      <w:pPr>
        <w:contextualSpacing/>
        <w:rPr>
          <w:i/>
          <w:iCs/>
        </w:rPr>
      </w:pPr>
      <w:r>
        <w:rPr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5523F8">
        <w:rPr>
          <w:i/>
          <w:iCs/>
        </w:rPr>
        <w:t xml:space="preserve">Sid </w:t>
      </w:r>
      <w:r>
        <w:rPr>
          <w:i/>
          <w:iCs/>
        </w:rPr>
        <w:t>5</w:t>
      </w:r>
      <w:r w:rsidRPr="005523F8">
        <w:rPr>
          <w:i/>
          <w:iCs/>
        </w:rPr>
        <w:t>/</w:t>
      </w:r>
      <w:r>
        <w:rPr>
          <w:i/>
          <w:iCs/>
        </w:rPr>
        <w:t>7</w:t>
      </w:r>
    </w:p>
    <w:p w14:paraId="3D15F6B8" w14:textId="77777777" w:rsidR="009F0FD3" w:rsidRPr="00ED34AA" w:rsidRDefault="009F0FD3" w:rsidP="009F0FD3">
      <w:pPr>
        <w:contextualSpacing/>
        <w:jc w:val="center"/>
        <w:rPr>
          <w:i/>
          <w:iCs/>
          <w:sz w:val="28"/>
          <w:szCs w:val="28"/>
        </w:rPr>
      </w:pPr>
      <w:r w:rsidRPr="00ED34AA">
        <w:rPr>
          <w:i/>
          <w:iCs/>
          <w:sz w:val="28"/>
          <w:szCs w:val="28"/>
        </w:rPr>
        <w:t>Säkerhetsdatablad</w:t>
      </w:r>
    </w:p>
    <w:p w14:paraId="0EA6D3FA" w14:textId="77777777" w:rsidR="009F0FD3" w:rsidRDefault="009F0FD3" w:rsidP="009F0FD3">
      <w:pPr>
        <w:contextualSpacing/>
        <w:jc w:val="center"/>
        <w:rPr>
          <w:i/>
          <w:iCs/>
          <w:sz w:val="24"/>
          <w:szCs w:val="24"/>
        </w:rPr>
      </w:pPr>
      <w:r w:rsidRPr="00D67CF0">
        <w:rPr>
          <w:i/>
          <w:iCs/>
          <w:sz w:val="24"/>
          <w:szCs w:val="24"/>
        </w:rPr>
        <w:t>enligt 1907/2006/EG, Artikel 31</w:t>
      </w:r>
    </w:p>
    <w:p w14:paraId="311EDD36" w14:textId="77777777" w:rsidR="009F0FD3" w:rsidRDefault="009F0FD3" w:rsidP="009F0FD3">
      <w:pPr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4553A6">
        <w:rPr>
          <w:i/>
          <w:iCs/>
          <w:sz w:val="24"/>
          <w:szCs w:val="24"/>
        </w:rPr>
        <w:t>Utskriftsdatum: 2019-0</w:t>
      </w:r>
      <w:r>
        <w:rPr>
          <w:i/>
          <w:iCs/>
          <w:sz w:val="24"/>
          <w:szCs w:val="24"/>
        </w:rPr>
        <w:t>6</w:t>
      </w:r>
      <w:r w:rsidRPr="004553A6">
        <w:rPr>
          <w:i/>
          <w:iCs/>
          <w:sz w:val="24"/>
          <w:szCs w:val="24"/>
        </w:rPr>
        <w:t>-0</w:t>
      </w:r>
      <w:r>
        <w:rPr>
          <w:i/>
          <w:iCs/>
          <w:sz w:val="24"/>
          <w:szCs w:val="24"/>
        </w:rPr>
        <w:t>3</w:t>
      </w:r>
      <w:r w:rsidRPr="004553A6">
        <w:rPr>
          <w:i/>
          <w:iCs/>
          <w:sz w:val="24"/>
          <w:szCs w:val="24"/>
        </w:rPr>
        <w:t xml:space="preserve"> </w:t>
      </w:r>
      <w:r w:rsidRPr="004553A6">
        <w:rPr>
          <w:i/>
          <w:iCs/>
          <w:sz w:val="24"/>
          <w:szCs w:val="24"/>
        </w:rPr>
        <w:tab/>
        <w:t xml:space="preserve">    Version nummer 1                                        Reviderad: 2019-0</w:t>
      </w:r>
      <w:r>
        <w:rPr>
          <w:i/>
          <w:iCs/>
          <w:sz w:val="24"/>
          <w:szCs w:val="24"/>
        </w:rPr>
        <w:t>6</w:t>
      </w:r>
      <w:r w:rsidRPr="004553A6">
        <w:rPr>
          <w:i/>
          <w:iCs/>
          <w:sz w:val="24"/>
          <w:szCs w:val="24"/>
        </w:rPr>
        <w:t>-0</w:t>
      </w:r>
      <w:r>
        <w:rPr>
          <w:i/>
          <w:iCs/>
          <w:sz w:val="24"/>
          <w:szCs w:val="24"/>
        </w:rPr>
        <w:t>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0FD3" w14:paraId="36CDB537" w14:textId="77777777" w:rsidTr="009F0FD3">
        <w:tc>
          <w:tcPr>
            <w:tcW w:w="10456" w:type="dxa"/>
          </w:tcPr>
          <w:p w14:paraId="67440055" w14:textId="278B8216" w:rsidR="009F0FD3" w:rsidRDefault="009F0FD3">
            <w:r w:rsidRPr="003E67E3">
              <w:rPr>
                <w:rFonts w:cstheme="minorHAnsi"/>
                <w:i/>
                <w:iCs/>
              </w:rPr>
              <w:t xml:space="preserve">Handelsnamn: </w:t>
            </w:r>
            <w:r w:rsidRPr="004F1E75">
              <w:rPr>
                <w:rFonts w:cstheme="minorHAnsi"/>
                <w:i/>
                <w:iCs/>
              </w:rPr>
              <w:t xml:space="preserve">Trixie </w:t>
            </w:r>
            <w:r>
              <w:rPr>
                <w:rFonts w:cstheme="minorHAnsi"/>
                <w:i/>
                <w:iCs/>
              </w:rPr>
              <w:t>Torrschampo</w:t>
            </w:r>
          </w:p>
        </w:tc>
      </w:tr>
      <w:tr w:rsidR="00BE14FB" w14:paraId="02C014D9" w14:textId="77777777" w:rsidTr="009F0FD3">
        <w:tc>
          <w:tcPr>
            <w:tcW w:w="10456" w:type="dxa"/>
          </w:tcPr>
          <w:p w14:paraId="0EF8CC50" w14:textId="43815680" w:rsidR="00E675CF" w:rsidRPr="00E675CF" w:rsidRDefault="00E675CF" w:rsidP="00BE14FB">
            <w:pPr>
              <w:contextualSpacing/>
              <w:rPr>
                <w:i/>
                <w:iCs/>
              </w:rPr>
            </w:pPr>
            <w:r w:rsidRPr="00E173FA">
              <w:rPr>
                <w:i/>
                <w:iCs/>
              </w:rPr>
              <w:t xml:space="preserve">                                                       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</w:t>
            </w:r>
            <w:r w:rsidRPr="00E173FA">
              <w:rPr>
                <w:i/>
                <w:iCs/>
              </w:rPr>
              <w:t xml:space="preserve"> (fortsättning från sida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4</w:t>
            </w:r>
            <w:r w:rsidRPr="00E173FA">
              <w:rPr>
                <w:i/>
                <w:iCs/>
              </w:rPr>
              <w:t>)</w:t>
            </w:r>
          </w:p>
          <w:p w14:paraId="6026BB5A" w14:textId="6C01752A" w:rsidR="00BE14FB" w:rsidRPr="00EE4CA0" w:rsidRDefault="00BE14FB" w:rsidP="00BE14FB">
            <w:pPr>
              <w:contextualSpacing/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</w:pPr>
            <w:r w:rsidRPr="00EE4CA0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AVSNITT 10: Stabilitet och reaktivitet</w:t>
            </w:r>
          </w:p>
          <w:p w14:paraId="48EE5186" w14:textId="77777777" w:rsidR="00BE14FB" w:rsidRPr="00EE4CA0" w:rsidRDefault="00BE14FB" w:rsidP="00BE14FB">
            <w:pPr>
              <w:contextualSpacing/>
              <w:rPr>
                <w:i/>
                <w:iCs/>
              </w:rPr>
            </w:pPr>
            <w:r w:rsidRPr="00EE4CA0">
              <w:rPr>
                <w:i/>
                <w:iCs/>
              </w:rPr>
              <w:t>· 10.1 Reaktivitet</w:t>
            </w:r>
            <w:r>
              <w:rPr>
                <w:i/>
                <w:iCs/>
              </w:rPr>
              <w:t>:</w:t>
            </w:r>
            <w:r w:rsidRPr="00EE4CA0">
              <w:rPr>
                <w:i/>
                <w:iCs/>
              </w:rPr>
              <w:t xml:space="preserve"> Ingen ytterligare relevant information finns till förfogande.</w:t>
            </w:r>
          </w:p>
          <w:p w14:paraId="79BA55BF" w14:textId="77777777" w:rsidR="00BE14FB" w:rsidRPr="00EE4CA0" w:rsidRDefault="00BE14FB" w:rsidP="00BE14FB">
            <w:pPr>
              <w:contextualSpacing/>
              <w:rPr>
                <w:i/>
                <w:iCs/>
              </w:rPr>
            </w:pPr>
            <w:r w:rsidRPr="00EE4CA0">
              <w:rPr>
                <w:i/>
                <w:iCs/>
              </w:rPr>
              <w:t>· 10.2 Kemisk stabilitet</w:t>
            </w:r>
          </w:p>
          <w:p w14:paraId="7C7878F1" w14:textId="77777777" w:rsidR="00BE14FB" w:rsidRPr="00EE4CA0" w:rsidRDefault="00BE14FB" w:rsidP="00BE14FB">
            <w:pPr>
              <w:contextualSpacing/>
              <w:rPr>
                <w:i/>
                <w:iCs/>
              </w:rPr>
            </w:pPr>
            <w:r w:rsidRPr="00EE4CA0">
              <w:rPr>
                <w:i/>
                <w:iCs/>
              </w:rPr>
              <w:t>· Termisk sönderdelning / förhållanden som bör undvikas:</w:t>
            </w:r>
          </w:p>
          <w:p w14:paraId="34C4BFCB" w14:textId="77777777" w:rsidR="00BE14FB" w:rsidRPr="00EE4CA0" w:rsidRDefault="00BE14FB" w:rsidP="00BE14FB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EE4CA0">
              <w:rPr>
                <w:i/>
                <w:iCs/>
              </w:rPr>
              <w:t>Ingen sönderdelning vid förvaring och hantering enligt anvisningarna.</w:t>
            </w:r>
          </w:p>
          <w:p w14:paraId="7AFEAD87" w14:textId="70F2E916" w:rsidR="00BE14FB" w:rsidRPr="00EE4CA0" w:rsidRDefault="00BE14FB" w:rsidP="00BE14FB">
            <w:pPr>
              <w:contextualSpacing/>
              <w:rPr>
                <w:i/>
                <w:iCs/>
              </w:rPr>
            </w:pPr>
            <w:r w:rsidRPr="00EE4CA0">
              <w:rPr>
                <w:i/>
                <w:iCs/>
              </w:rPr>
              <w:t>· 10.3 Risken för farliga reaktioner</w:t>
            </w:r>
            <w:r>
              <w:rPr>
                <w:i/>
                <w:iCs/>
              </w:rPr>
              <w:t>:</w:t>
            </w:r>
            <w:r w:rsidRPr="00EE4CA0">
              <w:rPr>
                <w:i/>
                <w:iCs/>
              </w:rPr>
              <w:t xml:space="preserve"> </w:t>
            </w:r>
            <w:r w:rsidRPr="00BE14FB">
              <w:rPr>
                <w:i/>
                <w:iCs/>
              </w:rPr>
              <w:t>Reagerar med starka oxidationsmedel.</w:t>
            </w:r>
          </w:p>
          <w:p w14:paraId="17540BA2" w14:textId="36470A60" w:rsidR="00BE14FB" w:rsidRPr="00EE4CA0" w:rsidRDefault="00BE14FB" w:rsidP="00BE14FB">
            <w:pPr>
              <w:contextualSpacing/>
              <w:rPr>
                <w:i/>
                <w:iCs/>
              </w:rPr>
            </w:pPr>
            <w:r w:rsidRPr="00EE4CA0">
              <w:rPr>
                <w:i/>
                <w:iCs/>
              </w:rPr>
              <w:t>· 10.4 Förhållanden som ska undvikas</w:t>
            </w:r>
            <w:r>
              <w:rPr>
                <w:i/>
                <w:iCs/>
              </w:rPr>
              <w:t>:</w:t>
            </w:r>
            <w:r w:rsidRPr="00EE4CA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Fukt</w:t>
            </w:r>
            <w:r w:rsidRPr="00EE4CA0">
              <w:rPr>
                <w:i/>
                <w:iCs/>
              </w:rPr>
              <w:t>.</w:t>
            </w:r>
          </w:p>
          <w:p w14:paraId="0E4EF56F" w14:textId="70D79D65" w:rsidR="00BE14FB" w:rsidRPr="00EE4CA0" w:rsidRDefault="00BE14FB" w:rsidP="00BE14FB">
            <w:pPr>
              <w:contextualSpacing/>
              <w:rPr>
                <w:i/>
                <w:iCs/>
              </w:rPr>
            </w:pPr>
            <w:r w:rsidRPr="00EE4CA0">
              <w:rPr>
                <w:i/>
                <w:iCs/>
              </w:rPr>
              <w:t xml:space="preserve">· 10.5 Oförenliga material: </w:t>
            </w:r>
            <w:r w:rsidRPr="00BE14FB">
              <w:rPr>
                <w:i/>
                <w:iCs/>
              </w:rPr>
              <w:t>Ingen ytterligare relevant information finns till förfogande.</w:t>
            </w:r>
          </w:p>
          <w:p w14:paraId="0CADCDE2" w14:textId="062A63EB" w:rsidR="00BE14FB" w:rsidRDefault="00BE14FB" w:rsidP="00BE14FB">
            <w:r w:rsidRPr="00EE4CA0">
              <w:rPr>
                <w:i/>
                <w:iCs/>
              </w:rPr>
              <w:t>· 10.6 Farliga sönderdelningsprodukter: Inga farliga sönderdelningsprodukter kända.</w:t>
            </w:r>
          </w:p>
        </w:tc>
      </w:tr>
      <w:tr w:rsidR="00BE14FB" w14:paraId="1286CA1A" w14:textId="77777777" w:rsidTr="009F0FD3">
        <w:tc>
          <w:tcPr>
            <w:tcW w:w="10456" w:type="dxa"/>
          </w:tcPr>
          <w:p w14:paraId="468B52AC" w14:textId="77777777" w:rsidR="004C15B2" w:rsidRPr="00EE4CA0" w:rsidRDefault="004C15B2" w:rsidP="004C15B2">
            <w:pPr>
              <w:contextualSpacing/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</w:pPr>
            <w:r w:rsidRPr="00EE4CA0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AVSNITT 11: Toxikologisk information</w:t>
            </w:r>
          </w:p>
          <w:p w14:paraId="69EF581D" w14:textId="77777777" w:rsidR="004C15B2" w:rsidRPr="00EE4CA0" w:rsidRDefault="004C15B2" w:rsidP="004C15B2">
            <w:pPr>
              <w:contextualSpacing/>
              <w:rPr>
                <w:i/>
                <w:iCs/>
              </w:rPr>
            </w:pPr>
            <w:r w:rsidRPr="00EE4CA0">
              <w:rPr>
                <w:i/>
                <w:iCs/>
              </w:rPr>
              <w:t>· 11.1 Information om toxikologiska effekter</w:t>
            </w:r>
          </w:p>
          <w:p w14:paraId="1E144341" w14:textId="77777777" w:rsidR="004C15B2" w:rsidRDefault="004C15B2" w:rsidP="004C15B2">
            <w:pPr>
              <w:contextualSpacing/>
              <w:rPr>
                <w:i/>
                <w:iCs/>
              </w:rPr>
            </w:pPr>
            <w:r w:rsidRPr="00EE4CA0">
              <w:rPr>
                <w:i/>
                <w:iCs/>
              </w:rPr>
              <w:t>· Akut toxicitet</w:t>
            </w:r>
            <w:r>
              <w:rPr>
                <w:i/>
                <w:iCs/>
              </w:rPr>
              <w:t>:</w:t>
            </w:r>
            <w:r w:rsidRPr="00EE4CA0">
              <w:rPr>
                <w:i/>
                <w:iCs/>
              </w:rPr>
              <w:t xml:space="preserve"> </w:t>
            </w:r>
            <w:r w:rsidRPr="00FC63BD">
              <w:rPr>
                <w:i/>
                <w:iCs/>
              </w:rPr>
              <w:t>Baserat på tillgängliga data uppfylls inte klassificeringskriterierna</w:t>
            </w:r>
            <w:r w:rsidRPr="00EE4CA0">
              <w:rPr>
                <w:i/>
                <w:iCs/>
              </w:rPr>
              <w:t>.</w:t>
            </w:r>
          </w:p>
          <w:p w14:paraId="7893B74C" w14:textId="77777777" w:rsidR="004C15B2" w:rsidRPr="00FC0FC5" w:rsidRDefault="004C15B2" w:rsidP="004C15B2">
            <w:pPr>
              <w:contextualSpacing/>
              <w:rPr>
                <w:i/>
                <w:iCs/>
              </w:rPr>
            </w:pPr>
            <w:r w:rsidRPr="00FC0FC5">
              <w:rPr>
                <w:i/>
                <w:iCs/>
              </w:rPr>
              <w:t>· Primär irritation:</w:t>
            </w:r>
          </w:p>
          <w:p w14:paraId="55EBD419" w14:textId="77777777" w:rsidR="004C15B2" w:rsidRPr="00FC0FC5" w:rsidRDefault="004C15B2" w:rsidP="004C15B2">
            <w:pPr>
              <w:contextualSpacing/>
              <w:rPr>
                <w:i/>
                <w:iCs/>
              </w:rPr>
            </w:pPr>
            <w:r w:rsidRPr="00FC0FC5">
              <w:rPr>
                <w:i/>
                <w:iCs/>
              </w:rPr>
              <w:t>· Frätande/irriterande på huden</w:t>
            </w:r>
            <w:r>
              <w:rPr>
                <w:i/>
                <w:iCs/>
              </w:rPr>
              <w:t>:</w:t>
            </w:r>
            <w:r w:rsidRPr="00FC0FC5">
              <w:rPr>
                <w:i/>
                <w:iCs/>
              </w:rPr>
              <w:t xml:space="preserve"> </w:t>
            </w:r>
            <w:r w:rsidRPr="00FC63BD">
              <w:rPr>
                <w:i/>
                <w:iCs/>
              </w:rPr>
              <w:t>Baserat på tillgängliga data uppfylls inte klassificeringskriterierna</w:t>
            </w:r>
            <w:r w:rsidRPr="00FC0FC5">
              <w:rPr>
                <w:i/>
                <w:iCs/>
              </w:rPr>
              <w:t>.</w:t>
            </w:r>
          </w:p>
          <w:p w14:paraId="2360E7D3" w14:textId="069678E2" w:rsidR="004C15B2" w:rsidRPr="00FC0FC5" w:rsidRDefault="004C15B2" w:rsidP="004C15B2">
            <w:pPr>
              <w:contextualSpacing/>
              <w:rPr>
                <w:i/>
                <w:iCs/>
              </w:rPr>
            </w:pPr>
            <w:r w:rsidRPr="00FC0FC5">
              <w:rPr>
                <w:i/>
                <w:iCs/>
              </w:rPr>
              <w:t>· Allvarlig ögonskada/ögonirritation</w:t>
            </w:r>
            <w:r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FC63BD">
              <w:rPr>
                <w:i/>
                <w:iCs/>
              </w:rPr>
              <w:t>Baserat på tillgängliga data uppfylls inte klassificeringskriterierna</w:t>
            </w:r>
            <w:r w:rsidRPr="00FC0FC5">
              <w:rPr>
                <w:i/>
                <w:iCs/>
              </w:rPr>
              <w:t>.</w:t>
            </w:r>
          </w:p>
          <w:p w14:paraId="57AA48AA" w14:textId="2EB1CB8D" w:rsidR="004C15B2" w:rsidRPr="00FC0FC5" w:rsidRDefault="004C15B2" w:rsidP="004C15B2">
            <w:pPr>
              <w:contextualSpacing/>
              <w:rPr>
                <w:i/>
                <w:iCs/>
              </w:rPr>
            </w:pPr>
            <w:r w:rsidRPr="00FC0FC5">
              <w:rPr>
                <w:i/>
                <w:iCs/>
              </w:rPr>
              <w:t>· Luftvägs- eller hudsensibilisering</w:t>
            </w:r>
            <w:r>
              <w:rPr>
                <w:i/>
                <w:iCs/>
              </w:rPr>
              <w:t>:</w:t>
            </w:r>
            <w:r w:rsidRPr="00FC0FC5">
              <w:rPr>
                <w:i/>
                <w:iCs/>
              </w:rPr>
              <w:t xml:space="preserve"> </w:t>
            </w:r>
            <w:r w:rsidRPr="00FC63BD">
              <w:rPr>
                <w:i/>
                <w:iCs/>
              </w:rPr>
              <w:t>Baserat på tillgängliga data uppfylls inte klassificeringskriterierna</w:t>
            </w:r>
            <w:r w:rsidRPr="00FC0FC5">
              <w:rPr>
                <w:i/>
                <w:iCs/>
              </w:rPr>
              <w:t>.</w:t>
            </w:r>
          </w:p>
          <w:p w14:paraId="3AB298BF" w14:textId="77777777" w:rsidR="004C15B2" w:rsidRPr="00FC0FC5" w:rsidRDefault="004C15B2" w:rsidP="004C15B2">
            <w:pPr>
              <w:contextualSpacing/>
              <w:rPr>
                <w:i/>
                <w:iCs/>
              </w:rPr>
            </w:pPr>
            <w:r w:rsidRPr="00FC0FC5">
              <w:rPr>
                <w:i/>
                <w:iCs/>
              </w:rPr>
              <w:t>· Toxicitet vid upprepad dosering</w:t>
            </w:r>
            <w:r>
              <w:rPr>
                <w:i/>
                <w:iCs/>
              </w:rPr>
              <w:t>:</w:t>
            </w:r>
            <w:r w:rsidRPr="00FC0FC5">
              <w:rPr>
                <w:i/>
                <w:iCs/>
              </w:rPr>
              <w:t xml:space="preserve"> Ingen ytterligare relevant information finns till förfogande.</w:t>
            </w:r>
          </w:p>
          <w:p w14:paraId="2C4CC590" w14:textId="77777777" w:rsidR="004C15B2" w:rsidRDefault="004C15B2" w:rsidP="004C15B2">
            <w:pPr>
              <w:contextualSpacing/>
              <w:rPr>
                <w:i/>
                <w:iCs/>
              </w:rPr>
            </w:pPr>
            <w:r w:rsidRPr="00FC0FC5">
              <w:rPr>
                <w:i/>
                <w:iCs/>
              </w:rPr>
              <w:t>· CMR-effekter (cancerframkallande, mutagena och reproduktionstoxiska)</w:t>
            </w:r>
            <w:r>
              <w:rPr>
                <w:i/>
                <w:iCs/>
              </w:rPr>
              <w:t xml:space="preserve">: </w:t>
            </w:r>
            <w:r w:rsidRPr="00FC0FC5">
              <w:rPr>
                <w:i/>
                <w:iCs/>
              </w:rPr>
              <w:t xml:space="preserve">Ingen ytterligare relevant </w:t>
            </w:r>
          </w:p>
          <w:p w14:paraId="709A9BF2" w14:textId="4A705499" w:rsidR="004C15B2" w:rsidRPr="00FC0FC5" w:rsidRDefault="004C15B2" w:rsidP="004C15B2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FC0FC5">
              <w:rPr>
                <w:i/>
                <w:iCs/>
              </w:rPr>
              <w:t>information</w:t>
            </w:r>
            <w:r>
              <w:rPr>
                <w:i/>
                <w:iCs/>
              </w:rPr>
              <w:t xml:space="preserve"> </w:t>
            </w:r>
            <w:r w:rsidRPr="00FC0FC5">
              <w:rPr>
                <w:i/>
                <w:iCs/>
              </w:rPr>
              <w:t>finns till förfogande.</w:t>
            </w:r>
          </w:p>
          <w:p w14:paraId="765D7478" w14:textId="77777777" w:rsidR="004C15B2" w:rsidRPr="00FC0FC5" w:rsidRDefault="004C15B2" w:rsidP="004C15B2">
            <w:pPr>
              <w:contextualSpacing/>
              <w:rPr>
                <w:i/>
                <w:iCs/>
              </w:rPr>
            </w:pPr>
            <w:r w:rsidRPr="00FC0FC5">
              <w:rPr>
                <w:i/>
                <w:iCs/>
              </w:rPr>
              <w:t xml:space="preserve">· </w:t>
            </w:r>
            <w:proofErr w:type="spellStart"/>
            <w:r w:rsidRPr="00FC0FC5">
              <w:rPr>
                <w:i/>
                <w:iCs/>
              </w:rPr>
              <w:t>Mutagenitet</w:t>
            </w:r>
            <w:proofErr w:type="spellEnd"/>
            <w:r w:rsidRPr="00FC0FC5">
              <w:rPr>
                <w:i/>
                <w:iCs/>
              </w:rPr>
              <w:t xml:space="preserve"> i könsceller</w:t>
            </w:r>
            <w:r>
              <w:rPr>
                <w:i/>
                <w:iCs/>
              </w:rPr>
              <w:t>:</w:t>
            </w:r>
            <w:r w:rsidRPr="00FC0FC5">
              <w:rPr>
                <w:i/>
                <w:iCs/>
              </w:rPr>
              <w:t xml:space="preserve"> </w:t>
            </w:r>
            <w:r w:rsidRPr="00FC63BD">
              <w:rPr>
                <w:i/>
                <w:iCs/>
              </w:rPr>
              <w:t>Baserat på tillgängliga data uppfylls inte klassificeringskriterierna</w:t>
            </w:r>
            <w:r w:rsidRPr="00FC0FC5">
              <w:rPr>
                <w:i/>
                <w:iCs/>
              </w:rPr>
              <w:t>.</w:t>
            </w:r>
          </w:p>
          <w:p w14:paraId="7A4A0C9C" w14:textId="77777777" w:rsidR="004C15B2" w:rsidRPr="00FC0FC5" w:rsidRDefault="004C15B2" w:rsidP="004C15B2">
            <w:pPr>
              <w:contextualSpacing/>
              <w:rPr>
                <w:i/>
                <w:iCs/>
              </w:rPr>
            </w:pPr>
            <w:r w:rsidRPr="00FC0FC5">
              <w:rPr>
                <w:i/>
                <w:iCs/>
              </w:rPr>
              <w:t>· Cancerframkallande egenskaper</w:t>
            </w:r>
            <w:r>
              <w:rPr>
                <w:i/>
                <w:iCs/>
              </w:rPr>
              <w:t>:</w:t>
            </w:r>
            <w:r w:rsidRPr="00FC0FC5">
              <w:rPr>
                <w:i/>
                <w:iCs/>
              </w:rPr>
              <w:t xml:space="preserve"> </w:t>
            </w:r>
            <w:r w:rsidRPr="00FC63BD">
              <w:rPr>
                <w:i/>
                <w:iCs/>
              </w:rPr>
              <w:t>Baserat på tillgängliga data uppfylls inte klassificeringskriterierna</w:t>
            </w:r>
            <w:r w:rsidRPr="00FC0FC5">
              <w:rPr>
                <w:i/>
                <w:iCs/>
              </w:rPr>
              <w:t>.</w:t>
            </w:r>
          </w:p>
          <w:p w14:paraId="5DAE113F" w14:textId="77777777" w:rsidR="00BE14FB" w:rsidRDefault="004C15B2" w:rsidP="004C15B2">
            <w:pPr>
              <w:rPr>
                <w:i/>
                <w:iCs/>
              </w:rPr>
            </w:pPr>
            <w:r w:rsidRPr="00FC0FC5">
              <w:rPr>
                <w:i/>
                <w:iCs/>
              </w:rPr>
              <w:t>· Reproduktionstoxicitet</w:t>
            </w:r>
            <w:r>
              <w:rPr>
                <w:i/>
                <w:iCs/>
              </w:rPr>
              <w:t>:</w:t>
            </w:r>
            <w:r w:rsidRPr="00FC0FC5">
              <w:rPr>
                <w:i/>
                <w:iCs/>
              </w:rPr>
              <w:t xml:space="preserve"> </w:t>
            </w:r>
            <w:r w:rsidRPr="00FC63BD">
              <w:rPr>
                <w:i/>
                <w:iCs/>
              </w:rPr>
              <w:t>Baserat på tillgängliga data uppfylls inte klassificeringskriterierna</w:t>
            </w:r>
            <w:r w:rsidRPr="00FC0FC5">
              <w:rPr>
                <w:i/>
                <w:iCs/>
              </w:rPr>
              <w:t>.</w:t>
            </w:r>
          </w:p>
          <w:p w14:paraId="08C81738" w14:textId="77777777" w:rsidR="008C6BEF" w:rsidRDefault="008C6BEF" w:rsidP="004C15B2">
            <w:pPr>
              <w:rPr>
                <w:i/>
                <w:iCs/>
              </w:rPr>
            </w:pPr>
            <w:r w:rsidRPr="004D0FED">
              <w:rPr>
                <w:i/>
                <w:iCs/>
              </w:rPr>
              <w:t xml:space="preserve">· </w:t>
            </w:r>
            <w:proofErr w:type="spellStart"/>
            <w:r w:rsidRPr="004D0FED">
              <w:rPr>
                <w:i/>
                <w:iCs/>
              </w:rPr>
              <w:t>Mutagenitet</w:t>
            </w:r>
            <w:proofErr w:type="spellEnd"/>
            <w:r w:rsidRPr="004D0FED">
              <w:rPr>
                <w:i/>
                <w:iCs/>
              </w:rPr>
              <w:t xml:space="preserve"> i könsceller</w:t>
            </w:r>
            <w:r>
              <w:rPr>
                <w:i/>
                <w:iCs/>
              </w:rPr>
              <w:t xml:space="preserve">: </w:t>
            </w:r>
            <w:r w:rsidRPr="00FC63BD">
              <w:rPr>
                <w:i/>
                <w:iCs/>
              </w:rPr>
              <w:t>Baserat på tillgängliga data uppfylls inte klassificeringskriterierna</w:t>
            </w:r>
            <w:r w:rsidRPr="00FC0FC5">
              <w:rPr>
                <w:i/>
                <w:iCs/>
              </w:rPr>
              <w:t>.</w:t>
            </w:r>
          </w:p>
          <w:p w14:paraId="4277EA54" w14:textId="0F0C08D4" w:rsidR="008C6BEF" w:rsidRPr="004D0FED" w:rsidRDefault="008C6BEF" w:rsidP="008C6BEF">
            <w:pPr>
              <w:contextualSpacing/>
              <w:rPr>
                <w:i/>
                <w:iCs/>
              </w:rPr>
            </w:pPr>
            <w:r w:rsidRPr="004D0FED">
              <w:rPr>
                <w:i/>
                <w:iCs/>
              </w:rPr>
              <w:t>· Specifik organtoxicitet - enstaka exponering</w:t>
            </w:r>
            <w:r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4D0FED">
              <w:rPr>
                <w:i/>
                <w:iCs/>
              </w:rPr>
              <w:t>Baserat på tillgängliga data uppfylls inte klassificeringskriterierna.</w:t>
            </w:r>
          </w:p>
          <w:p w14:paraId="08091CEC" w14:textId="472222EF" w:rsidR="008C6BEF" w:rsidRPr="004D0FED" w:rsidRDefault="008C6BEF" w:rsidP="008C6BEF">
            <w:pPr>
              <w:contextualSpacing/>
              <w:rPr>
                <w:i/>
                <w:iCs/>
              </w:rPr>
            </w:pPr>
            <w:r w:rsidRPr="004D0FED">
              <w:rPr>
                <w:i/>
                <w:iCs/>
              </w:rPr>
              <w:t>· Specifik organtoxicitet - upprepad exponering</w:t>
            </w:r>
            <w:r>
              <w:rPr>
                <w:i/>
                <w:iCs/>
              </w:rPr>
              <w:t xml:space="preserve">: </w:t>
            </w:r>
            <w:r w:rsidRPr="004D0FED">
              <w:rPr>
                <w:i/>
                <w:iCs/>
              </w:rPr>
              <w:t>Baserat på tillgängliga data uppfylls inte klassificeringskriterierna.</w:t>
            </w:r>
          </w:p>
          <w:p w14:paraId="1DEC6FB9" w14:textId="60A74FCA" w:rsidR="008C6BEF" w:rsidRDefault="008C6BEF" w:rsidP="008C6BEF">
            <w:r w:rsidRPr="004D0FED">
              <w:rPr>
                <w:i/>
                <w:iCs/>
              </w:rPr>
              <w:t>· Fara vid aspiration</w:t>
            </w:r>
            <w:r>
              <w:rPr>
                <w:i/>
                <w:iCs/>
              </w:rPr>
              <w:t>:</w:t>
            </w:r>
            <w:r w:rsidRPr="004D0FED">
              <w:rPr>
                <w:i/>
                <w:iCs/>
              </w:rPr>
              <w:t xml:space="preserve"> Baserat på tillgängliga data uppfylls inte klassificeringskriterierna.</w:t>
            </w:r>
          </w:p>
        </w:tc>
      </w:tr>
      <w:tr w:rsidR="00BE14FB" w14:paraId="2F643760" w14:textId="77777777" w:rsidTr="009F0FD3">
        <w:tc>
          <w:tcPr>
            <w:tcW w:w="10456" w:type="dxa"/>
          </w:tcPr>
          <w:p w14:paraId="5F1602EE" w14:textId="77777777" w:rsidR="00E675CF" w:rsidRPr="004D0FED" w:rsidRDefault="00E675CF" w:rsidP="00E675CF">
            <w:pPr>
              <w:contextualSpacing/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</w:pPr>
            <w:r w:rsidRPr="004D0FED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AVSNITT 12: Ekologisk information</w:t>
            </w:r>
          </w:p>
          <w:p w14:paraId="7E9E99F4" w14:textId="77777777" w:rsidR="00BE14FB" w:rsidRDefault="00E675CF" w:rsidP="00E675CF">
            <w:pPr>
              <w:rPr>
                <w:i/>
                <w:iCs/>
              </w:rPr>
            </w:pPr>
            <w:r w:rsidRPr="004D0FED">
              <w:rPr>
                <w:i/>
                <w:iCs/>
              </w:rPr>
              <w:t>· 12.1 Toxicitet</w:t>
            </w:r>
          </w:p>
          <w:p w14:paraId="75020ED2" w14:textId="317ACFD0" w:rsidR="00E675CF" w:rsidRDefault="00E675CF" w:rsidP="00E675CF">
            <w:pPr>
              <w:rPr>
                <w:i/>
                <w:iCs/>
              </w:rPr>
            </w:pPr>
            <w:r w:rsidRPr="004D0FED">
              <w:rPr>
                <w:i/>
                <w:iCs/>
              </w:rPr>
              <w:t>· Akvatisk toxicitet:</w:t>
            </w:r>
            <w:r>
              <w:rPr>
                <w:i/>
                <w:iCs/>
              </w:rPr>
              <w:t xml:space="preserve"> </w:t>
            </w:r>
            <w:r w:rsidRPr="00BE14FB">
              <w:rPr>
                <w:i/>
                <w:iCs/>
              </w:rPr>
              <w:t>Ingen ytterligare relevant information finns till förfogande.</w:t>
            </w:r>
          </w:p>
          <w:p w14:paraId="5ED00D84" w14:textId="5BD8B1B7" w:rsidR="00E675CF" w:rsidRPr="00224795" w:rsidRDefault="00E675CF" w:rsidP="00E675CF">
            <w:pPr>
              <w:rPr>
                <w:i/>
                <w:iCs/>
              </w:rPr>
            </w:pPr>
            <w:r w:rsidRPr="00224795">
              <w:rPr>
                <w:i/>
                <w:iCs/>
              </w:rPr>
              <w:t>· 12.2 Persistens och nedbrytbarhet</w:t>
            </w:r>
            <w:r>
              <w:rPr>
                <w:i/>
                <w:iCs/>
              </w:rPr>
              <w:t>:</w:t>
            </w:r>
            <w:r w:rsidRPr="00224795">
              <w:rPr>
                <w:i/>
                <w:iCs/>
              </w:rPr>
              <w:t xml:space="preserve"> </w:t>
            </w:r>
            <w:r w:rsidRPr="00E675CF">
              <w:rPr>
                <w:i/>
                <w:iCs/>
              </w:rPr>
              <w:t>Produkten är lätt vattenlöslig. Det kan till stor del elimineras från vattnet genom abiotiska processer, t ex mekanisk separation.</w:t>
            </w:r>
            <w:r>
              <w:rPr>
                <w:i/>
                <w:iCs/>
              </w:rPr>
              <w:t xml:space="preserve"> </w:t>
            </w:r>
            <w:r w:rsidRPr="00E675CF">
              <w:rPr>
                <w:i/>
                <w:iCs/>
              </w:rPr>
              <w:t>Lösningsmedlet är biologiskt nedbrytbart.</w:t>
            </w:r>
          </w:p>
          <w:p w14:paraId="6EA37BFC" w14:textId="77777777" w:rsidR="00E675CF" w:rsidRPr="00224795" w:rsidRDefault="00E675CF" w:rsidP="00E675CF">
            <w:pPr>
              <w:contextualSpacing/>
              <w:rPr>
                <w:i/>
                <w:iCs/>
              </w:rPr>
            </w:pPr>
            <w:r w:rsidRPr="00224795">
              <w:rPr>
                <w:i/>
                <w:iCs/>
              </w:rPr>
              <w:t>· 12.3 Bioackumuleringsförmåga</w:t>
            </w:r>
            <w:r>
              <w:rPr>
                <w:i/>
                <w:iCs/>
              </w:rPr>
              <w:t>:</w:t>
            </w:r>
            <w:r w:rsidRPr="00224795">
              <w:rPr>
                <w:i/>
                <w:iCs/>
              </w:rPr>
              <w:t xml:space="preserve"> Bioackumulering är inte trolig.</w:t>
            </w:r>
          </w:p>
          <w:p w14:paraId="10D85621" w14:textId="77777777" w:rsidR="00E675CF" w:rsidRPr="00224795" w:rsidRDefault="00E675CF" w:rsidP="00E675CF">
            <w:pPr>
              <w:contextualSpacing/>
              <w:rPr>
                <w:i/>
                <w:iCs/>
              </w:rPr>
            </w:pPr>
            <w:r w:rsidRPr="00224795">
              <w:rPr>
                <w:i/>
                <w:iCs/>
              </w:rPr>
              <w:t>· 12.4 Rörligheten i jord</w:t>
            </w:r>
            <w:r>
              <w:rPr>
                <w:i/>
                <w:iCs/>
              </w:rPr>
              <w:t>:</w:t>
            </w:r>
            <w:r w:rsidRPr="00224795">
              <w:rPr>
                <w:i/>
                <w:iCs/>
              </w:rPr>
              <w:t xml:space="preserve"> Ingen ytterligare relevant information finns till förfogande.</w:t>
            </w:r>
          </w:p>
          <w:p w14:paraId="566CF2E6" w14:textId="77777777" w:rsidR="00E675CF" w:rsidRPr="00224795" w:rsidRDefault="00E675CF" w:rsidP="00E675CF">
            <w:pPr>
              <w:contextualSpacing/>
              <w:rPr>
                <w:i/>
                <w:iCs/>
              </w:rPr>
            </w:pPr>
            <w:r w:rsidRPr="00224795">
              <w:rPr>
                <w:i/>
                <w:iCs/>
              </w:rPr>
              <w:t>· Ytterligare ekologisk information:</w:t>
            </w:r>
          </w:p>
          <w:p w14:paraId="2CAF4343" w14:textId="77777777" w:rsidR="00E675CF" w:rsidRPr="00224795" w:rsidRDefault="00E675CF" w:rsidP="00E675CF">
            <w:pPr>
              <w:contextualSpacing/>
              <w:rPr>
                <w:i/>
                <w:iCs/>
              </w:rPr>
            </w:pPr>
            <w:r w:rsidRPr="00224795">
              <w:rPr>
                <w:i/>
                <w:iCs/>
              </w:rPr>
              <w:t>· Allmän information:</w:t>
            </w:r>
          </w:p>
          <w:p w14:paraId="2E99B3B0" w14:textId="77777777" w:rsidR="00E675CF" w:rsidRDefault="00E675CF" w:rsidP="00E675CF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DD2E71">
              <w:rPr>
                <w:i/>
                <w:iCs/>
              </w:rPr>
              <w:t>Låt inte</w:t>
            </w:r>
            <w:r>
              <w:rPr>
                <w:i/>
                <w:iCs/>
              </w:rPr>
              <w:t xml:space="preserve"> </w:t>
            </w:r>
            <w:r w:rsidRPr="00DD2E71">
              <w:rPr>
                <w:i/>
                <w:iCs/>
              </w:rPr>
              <w:t xml:space="preserve">outspädd produkt eller stora mängder av den komma ner i grundvatten, vattendrag </w:t>
            </w:r>
          </w:p>
          <w:p w14:paraId="268C31DD" w14:textId="35F57CEF" w:rsidR="00E675CF" w:rsidRDefault="00E675CF" w:rsidP="00E675CF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DD2E71">
              <w:rPr>
                <w:i/>
                <w:iCs/>
              </w:rPr>
              <w:t>eller</w:t>
            </w:r>
            <w:r>
              <w:rPr>
                <w:i/>
                <w:iCs/>
              </w:rPr>
              <w:t xml:space="preserve"> </w:t>
            </w:r>
            <w:r w:rsidRPr="00DD2E71">
              <w:rPr>
                <w:i/>
                <w:iCs/>
              </w:rPr>
              <w:t>avloppssystemet.</w:t>
            </w:r>
          </w:p>
          <w:p w14:paraId="6B61C4E6" w14:textId="77777777" w:rsidR="00E675CF" w:rsidRPr="00224795" w:rsidRDefault="00E675CF" w:rsidP="00E675CF">
            <w:pPr>
              <w:contextualSpacing/>
              <w:rPr>
                <w:i/>
                <w:iCs/>
              </w:rPr>
            </w:pPr>
            <w:r w:rsidRPr="00224795">
              <w:rPr>
                <w:i/>
                <w:iCs/>
              </w:rPr>
              <w:t xml:space="preserve">· 12.5 Resultat av PBT- och </w:t>
            </w:r>
            <w:proofErr w:type="spellStart"/>
            <w:r w:rsidRPr="00224795">
              <w:rPr>
                <w:i/>
                <w:iCs/>
              </w:rPr>
              <w:t>vPvB</w:t>
            </w:r>
            <w:proofErr w:type="spellEnd"/>
            <w:r w:rsidRPr="00224795">
              <w:rPr>
                <w:i/>
                <w:iCs/>
              </w:rPr>
              <w:t>-bedömning</w:t>
            </w:r>
          </w:p>
          <w:p w14:paraId="20CB8EB0" w14:textId="77777777" w:rsidR="00E675CF" w:rsidRPr="00224795" w:rsidRDefault="00E675CF" w:rsidP="00E675CF">
            <w:pPr>
              <w:contextualSpacing/>
              <w:rPr>
                <w:i/>
                <w:iCs/>
              </w:rPr>
            </w:pPr>
            <w:r w:rsidRPr="00224795">
              <w:rPr>
                <w:i/>
                <w:iCs/>
              </w:rPr>
              <w:t>· PBT: Ej tillämpligt.</w:t>
            </w:r>
          </w:p>
          <w:p w14:paraId="7C7935E0" w14:textId="23004973" w:rsidR="00E675CF" w:rsidRDefault="00E675CF" w:rsidP="00E675CF">
            <w:pPr>
              <w:rPr>
                <w:i/>
                <w:iCs/>
              </w:rPr>
            </w:pPr>
            <w:r w:rsidRPr="00224795">
              <w:rPr>
                <w:i/>
                <w:iCs/>
              </w:rPr>
              <w:t xml:space="preserve">· </w:t>
            </w:r>
            <w:proofErr w:type="spellStart"/>
            <w:r w:rsidRPr="00224795">
              <w:rPr>
                <w:i/>
                <w:iCs/>
              </w:rPr>
              <w:t>vPvB</w:t>
            </w:r>
            <w:proofErr w:type="spellEnd"/>
            <w:r w:rsidRPr="00224795">
              <w:rPr>
                <w:i/>
                <w:iCs/>
              </w:rPr>
              <w:t>: Ej tillämpligt.</w:t>
            </w:r>
          </w:p>
          <w:p w14:paraId="5D0E94D8" w14:textId="13711B08" w:rsidR="00E675CF" w:rsidRDefault="00E675CF" w:rsidP="00E675CF">
            <w:pPr>
              <w:rPr>
                <w:i/>
                <w:iCs/>
              </w:rPr>
            </w:pPr>
            <w:r w:rsidRPr="00224795">
              <w:rPr>
                <w:i/>
                <w:iCs/>
              </w:rPr>
              <w:t>· 12.6 Andra skadliga effekter</w:t>
            </w:r>
            <w:r>
              <w:rPr>
                <w:i/>
                <w:iCs/>
              </w:rPr>
              <w:t>:</w:t>
            </w:r>
            <w:r w:rsidRPr="00224795">
              <w:rPr>
                <w:i/>
                <w:iCs/>
              </w:rPr>
              <w:t xml:space="preserve"> Ingen ytterligare relevant information finns till förfogande.</w:t>
            </w:r>
          </w:p>
          <w:p w14:paraId="58041346" w14:textId="14209A49" w:rsidR="00E675CF" w:rsidRDefault="00E675CF" w:rsidP="00E675CF"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D80698">
              <w:rPr>
                <w:i/>
                <w:iCs/>
              </w:rPr>
              <w:t xml:space="preserve">(fortsättning på sida </w:t>
            </w:r>
            <w:r>
              <w:rPr>
                <w:i/>
                <w:iCs/>
              </w:rPr>
              <w:t>6</w:t>
            </w:r>
            <w:r w:rsidRPr="00D80698">
              <w:rPr>
                <w:i/>
                <w:iCs/>
              </w:rPr>
              <w:t>)</w:t>
            </w:r>
          </w:p>
        </w:tc>
      </w:tr>
    </w:tbl>
    <w:p w14:paraId="57ED52F3" w14:textId="6DD5545A" w:rsidR="009F0FD3" w:rsidRDefault="009F0FD3"/>
    <w:p w14:paraId="2C11E15B" w14:textId="44FF1FD3" w:rsidR="00E675CF" w:rsidRDefault="00E675CF"/>
    <w:p w14:paraId="0A74AB3C" w14:textId="38D9DE82" w:rsidR="00E675CF" w:rsidRDefault="00E675CF"/>
    <w:p w14:paraId="193A0688" w14:textId="6219590F" w:rsidR="00E675CF" w:rsidRDefault="00E675CF"/>
    <w:p w14:paraId="17624836" w14:textId="09609DE8" w:rsidR="00E675CF" w:rsidRPr="005523F8" w:rsidRDefault="00E675CF" w:rsidP="00E675CF">
      <w:pPr>
        <w:contextualSpacing/>
        <w:rPr>
          <w:i/>
          <w:iCs/>
        </w:rPr>
      </w:pPr>
      <w:r>
        <w:rPr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5523F8">
        <w:rPr>
          <w:i/>
          <w:iCs/>
        </w:rPr>
        <w:t xml:space="preserve">Sid </w:t>
      </w:r>
      <w:r>
        <w:rPr>
          <w:i/>
          <w:iCs/>
        </w:rPr>
        <w:t>6</w:t>
      </w:r>
      <w:r w:rsidRPr="005523F8">
        <w:rPr>
          <w:i/>
          <w:iCs/>
        </w:rPr>
        <w:t>/</w:t>
      </w:r>
      <w:r>
        <w:rPr>
          <w:i/>
          <w:iCs/>
        </w:rPr>
        <w:t>7</w:t>
      </w:r>
    </w:p>
    <w:p w14:paraId="3078F02C" w14:textId="77777777" w:rsidR="00E675CF" w:rsidRPr="00ED34AA" w:rsidRDefault="00E675CF" w:rsidP="00E675CF">
      <w:pPr>
        <w:contextualSpacing/>
        <w:jc w:val="center"/>
        <w:rPr>
          <w:i/>
          <w:iCs/>
          <w:sz w:val="28"/>
          <w:szCs w:val="28"/>
        </w:rPr>
      </w:pPr>
      <w:r w:rsidRPr="00ED34AA">
        <w:rPr>
          <w:i/>
          <w:iCs/>
          <w:sz w:val="28"/>
          <w:szCs w:val="28"/>
        </w:rPr>
        <w:t>Säkerhetsdatablad</w:t>
      </w:r>
    </w:p>
    <w:p w14:paraId="2AA29670" w14:textId="77777777" w:rsidR="00E675CF" w:rsidRDefault="00E675CF" w:rsidP="00E675CF">
      <w:pPr>
        <w:contextualSpacing/>
        <w:jc w:val="center"/>
        <w:rPr>
          <w:i/>
          <w:iCs/>
          <w:sz w:val="24"/>
          <w:szCs w:val="24"/>
        </w:rPr>
      </w:pPr>
      <w:r w:rsidRPr="00D67CF0">
        <w:rPr>
          <w:i/>
          <w:iCs/>
          <w:sz w:val="24"/>
          <w:szCs w:val="24"/>
        </w:rPr>
        <w:t>enligt 1907/2006/EG, Artikel 31</w:t>
      </w:r>
    </w:p>
    <w:p w14:paraId="3A7200FB" w14:textId="77777777" w:rsidR="00E675CF" w:rsidRDefault="00E675CF" w:rsidP="00E675CF">
      <w:pPr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4553A6">
        <w:rPr>
          <w:i/>
          <w:iCs/>
          <w:sz w:val="24"/>
          <w:szCs w:val="24"/>
        </w:rPr>
        <w:t>Utskriftsdatum: 2019-0</w:t>
      </w:r>
      <w:r>
        <w:rPr>
          <w:i/>
          <w:iCs/>
          <w:sz w:val="24"/>
          <w:szCs w:val="24"/>
        </w:rPr>
        <w:t>6</w:t>
      </w:r>
      <w:r w:rsidRPr="004553A6">
        <w:rPr>
          <w:i/>
          <w:iCs/>
          <w:sz w:val="24"/>
          <w:szCs w:val="24"/>
        </w:rPr>
        <w:t>-0</w:t>
      </w:r>
      <w:r>
        <w:rPr>
          <w:i/>
          <w:iCs/>
          <w:sz w:val="24"/>
          <w:szCs w:val="24"/>
        </w:rPr>
        <w:t>3</w:t>
      </w:r>
      <w:r w:rsidRPr="004553A6">
        <w:rPr>
          <w:i/>
          <w:iCs/>
          <w:sz w:val="24"/>
          <w:szCs w:val="24"/>
        </w:rPr>
        <w:t xml:space="preserve"> </w:t>
      </w:r>
      <w:r w:rsidRPr="004553A6">
        <w:rPr>
          <w:i/>
          <w:iCs/>
          <w:sz w:val="24"/>
          <w:szCs w:val="24"/>
        </w:rPr>
        <w:tab/>
        <w:t xml:space="preserve">    Version nummer 1                                        Reviderad: 2019-0</w:t>
      </w:r>
      <w:r>
        <w:rPr>
          <w:i/>
          <w:iCs/>
          <w:sz w:val="24"/>
          <w:szCs w:val="24"/>
        </w:rPr>
        <w:t>6</w:t>
      </w:r>
      <w:r w:rsidRPr="004553A6">
        <w:rPr>
          <w:i/>
          <w:iCs/>
          <w:sz w:val="24"/>
          <w:szCs w:val="24"/>
        </w:rPr>
        <w:t>-0</w:t>
      </w:r>
      <w:r>
        <w:rPr>
          <w:i/>
          <w:iCs/>
          <w:sz w:val="24"/>
          <w:szCs w:val="24"/>
        </w:rPr>
        <w:t>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75CF" w14:paraId="3C76B04F" w14:textId="77777777" w:rsidTr="00E675CF">
        <w:tc>
          <w:tcPr>
            <w:tcW w:w="10456" w:type="dxa"/>
          </w:tcPr>
          <w:p w14:paraId="3B90C8DE" w14:textId="288EB8B3" w:rsidR="00E675CF" w:rsidRDefault="00E675CF">
            <w:r w:rsidRPr="003E67E3">
              <w:rPr>
                <w:rFonts w:cstheme="minorHAnsi"/>
                <w:i/>
                <w:iCs/>
              </w:rPr>
              <w:t xml:space="preserve">Handelsnamn: </w:t>
            </w:r>
            <w:r w:rsidRPr="004F1E75">
              <w:rPr>
                <w:rFonts w:cstheme="minorHAnsi"/>
                <w:i/>
                <w:iCs/>
              </w:rPr>
              <w:t xml:space="preserve">Trixie </w:t>
            </w:r>
            <w:r>
              <w:rPr>
                <w:rFonts w:cstheme="minorHAnsi"/>
                <w:i/>
                <w:iCs/>
              </w:rPr>
              <w:t>Torrschampo</w:t>
            </w:r>
          </w:p>
        </w:tc>
      </w:tr>
      <w:tr w:rsidR="00E675CF" w14:paraId="06793E63" w14:textId="77777777" w:rsidTr="00E675CF">
        <w:tc>
          <w:tcPr>
            <w:tcW w:w="10456" w:type="dxa"/>
          </w:tcPr>
          <w:p w14:paraId="4A79C793" w14:textId="5A246DCA" w:rsidR="00870CAC" w:rsidRDefault="00870CAC" w:rsidP="00E675CF">
            <w:pPr>
              <w:contextualSpacing/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</w:pPr>
            <w:r w:rsidRPr="00E173FA">
              <w:rPr>
                <w:i/>
                <w:iCs/>
              </w:rPr>
              <w:t xml:space="preserve">                                                      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</w:t>
            </w:r>
            <w:r w:rsidRPr="00E173FA">
              <w:rPr>
                <w:i/>
                <w:iCs/>
              </w:rPr>
              <w:t xml:space="preserve"> (fortsättning från sida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</w:t>
            </w:r>
            <w:r w:rsidRPr="00E173FA">
              <w:rPr>
                <w:i/>
                <w:iCs/>
              </w:rPr>
              <w:t>)</w:t>
            </w:r>
          </w:p>
          <w:p w14:paraId="13712D2A" w14:textId="0C3438F5" w:rsidR="00E675CF" w:rsidRPr="00224795" w:rsidRDefault="00E675CF" w:rsidP="00E675CF">
            <w:pPr>
              <w:contextualSpacing/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</w:pPr>
            <w:r w:rsidRPr="00224795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AVSNITT 13: Avfallshantering</w:t>
            </w:r>
          </w:p>
          <w:p w14:paraId="77DE6657" w14:textId="77777777" w:rsidR="00E675CF" w:rsidRPr="00224795" w:rsidRDefault="00E675CF" w:rsidP="00E675CF">
            <w:pPr>
              <w:contextualSpacing/>
              <w:rPr>
                <w:i/>
                <w:iCs/>
              </w:rPr>
            </w:pPr>
            <w:r w:rsidRPr="00224795">
              <w:rPr>
                <w:i/>
                <w:iCs/>
              </w:rPr>
              <w:t>· 13.1 Avfallsbehandlingsmetoder</w:t>
            </w:r>
            <w:r>
              <w:rPr>
                <w:i/>
                <w:iCs/>
              </w:rPr>
              <w:t>:</w:t>
            </w:r>
          </w:p>
          <w:p w14:paraId="2A091FC0" w14:textId="77777777" w:rsidR="00E675CF" w:rsidRPr="00224795" w:rsidRDefault="00E675CF" w:rsidP="00E675CF">
            <w:pPr>
              <w:contextualSpacing/>
              <w:rPr>
                <w:i/>
                <w:iCs/>
              </w:rPr>
            </w:pPr>
            <w:r w:rsidRPr="00224795">
              <w:rPr>
                <w:i/>
                <w:iCs/>
              </w:rPr>
              <w:t>· Rekommendation:</w:t>
            </w:r>
          </w:p>
          <w:p w14:paraId="3B13E43D" w14:textId="77777777" w:rsidR="00E675CF" w:rsidRPr="00224795" w:rsidRDefault="00E675CF" w:rsidP="00E675CF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224795">
              <w:rPr>
                <w:i/>
                <w:iCs/>
              </w:rPr>
              <w:t>Mindre mängder kan deponeras tillsammans med hushållsavfall.</w:t>
            </w:r>
          </w:p>
          <w:p w14:paraId="0527C9B0" w14:textId="77777777" w:rsidR="00E675CF" w:rsidRDefault="00E675CF" w:rsidP="00E675CF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224795">
              <w:rPr>
                <w:i/>
                <w:iCs/>
              </w:rPr>
              <w:t>Avfallshantering enligt officiella föreskrifter.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8795"/>
            </w:tblGrid>
            <w:tr w:rsidR="00E675CF" w14:paraId="259A8503" w14:textId="77777777" w:rsidTr="00F55A1B">
              <w:tc>
                <w:tcPr>
                  <w:tcW w:w="10230" w:type="dxa"/>
                  <w:gridSpan w:val="2"/>
                </w:tcPr>
                <w:p w14:paraId="62710A06" w14:textId="77777777" w:rsidR="00E675CF" w:rsidRDefault="00E675CF" w:rsidP="00E675CF">
                  <w:pPr>
                    <w:contextualSpacing/>
                    <w:rPr>
                      <w:i/>
                      <w:iCs/>
                    </w:rPr>
                  </w:pPr>
                  <w:r w:rsidRPr="00224795">
                    <w:rPr>
                      <w:i/>
                      <w:iCs/>
                    </w:rPr>
                    <w:t>· Europeisk</w:t>
                  </w:r>
                  <w:r>
                    <w:rPr>
                      <w:i/>
                      <w:iCs/>
                    </w:rPr>
                    <w:t>a avfallsregistret</w:t>
                  </w:r>
                </w:p>
              </w:tc>
            </w:tr>
            <w:tr w:rsidR="00E675CF" w14:paraId="391A5C64" w14:textId="77777777" w:rsidTr="00F55A1B">
              <w:tc>
                <w:tcPr>
                  <w:tcW w:w="1435" w:type="dxa"/>
                </w:tcPr>
                <w:p w14:paraId="33ED8F18" w14:textId="45EE707B" w:rsidR="00E675CF" w:rsidRDefault="005062EE" w:rsidP="00E675CF">
                  <w:pPr>
                    <w:contextualSpacing/>
                    <w:rPr>
                      <w:i/>
                      <w:iCs/>
                    </w:rPr>
                  </w:pPr>
                  <w:r w:rsidRPr="005062EE">
                    <w:rPr>
                      <w:i/>
                      <w:iCs/>
                    </w:rPr>
                    <w:t>07 06 99</w:t>
                  </w:r>
                </w:p>
              </w:tc>
              <w:tc>
                <w:tcPr>
                  <w:tcW w:w="8795" w:type="dxa"/>
                </w:tcPr>
                <w:p w14:paraId="3B975EBD" w14:textId="40ED1405" w:rsidR="00E675CF" w:rsidRDefault="005062EE" w:rsidP="00E675CF">
                  <w:pPr>
                    <w:contextualSpacing/>
                    <w:rPr>
                      <w:i/>
                      <w:iCs/>
                    </w:rPr>
                  </w:pPr>
                  <w:r w:rsidRPr="005062EE">
                    <w:rPr>
                      <w:i/>
                      <w:iCs/>
                    </w:rPr>
                    <w:t>Avfall som inte anges på annat sätt</w:t>
                  </w:r>
                </w:p>
              </w:tc>
            </w:tr>
          </w:tbl>
          <w:p w14:paraId="50F235E8" w14:textId="77777777" w:rsidR="00E675CF" w:rsidRPr="00224795" w:rsidRDefault="00E675CF" w:rsidP="00E675CF">
            <w:pPr>
              <w:contextualSpacing/>
              <w:rPr>
                <w:i/>
                <w:iCs/>
              </w:rPr>
            </w:pPr>
            <w:r w:rsidRPr="00224795">
              <w:rPr>
                <w:i/>
                <w:iCs/>
              </w:rPr>
              <w:t>· Ej rengjorda förpackningar:</w:t>
            </w:r>
          </w:p>
          <w:p w14:paraId="770AD527" w14:textId="77777777" w:rsidR="00E675CF" w:rsidRPr="00224795" w:rsidRDefault="00E675CF" w:rsidP="00E675CF">
            <w:pPr>
              <w:contextualSpacing/>
              <w:rPr>
                <w:i/>
                <w:iCs/>
              </w:rPr>
            </w:pPr>
            <w:r w:rsidRPr="00224795">
              <w:rPr>
                <w:i/>
                <w:iCs/>
              </w:rPr>
              <w:t>· Rekommendation:</w:t>
            </w:r>
          </w:p>
          <w:p w14:paraId="75A02B22" w14:textId="77777777" w:rsidR="00E675CF" w:rsidRPr="00224795" w:rsidRDefault="00E675CF" w:rsidP="00E675CF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224795">
              <w:rPr>
                <w:i/>
                <w:iCs/>
              </w:rPr>
              <w:t>Avfallshantering enligt officiella föreskrifter.</w:t>
            </w:r>
          </w:p>
          <w:p w14:paraId="3056A15D" w14:textId="2BB7AB6F" w:rsidR="00E675CF" w:rsidRPr="005062EE" w:rsidRDefault="00E675CF" w:rsidP="00E675CF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224795">
              <w:rPr>
                <w:i/>
                <w:iCs/>
              </w:rPr>
              <w:t>Oförorenade förpackningar kan återvinnas.</w:t>
            </w:r>
          </w:p>
        </w:tc>
      </w:tr>
      <w:tr w:rsidR="00E675CF" w14:paraId="634FA086" w14:textId="77777777" w:rsidTr="00E675CF">
        <w:tc>
          <w:tcPr>
            <w:tcW w:w="10456" w:type="dxa"/>
          </w:tcPr>
          <w:p w14:paraId="3484FABD" w14:textId="77777777" w:rsidR="005062EE" w:rsidRDefault="005062EE" w:rsidP="005062EE">
            <w:pPr>
              <w:contextualSpacing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0B3094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A</w:t>
            </w:r>
            <w:r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VSNITT</w:t>
            </w:r>
            <w:r w:rsidRPr="000B3094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 xml:space="preserve"> 14: </w:t>
            </w:r>
            <w:r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Transportinformation</w:t>
            </w:r>
          </w:p>
          <w:tbl>
            <w:tblPr>
              <w:tblStyle w:val="Tabellrutnt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5062EE" w14:paraId="713E8D20" w14:textId="77777777" w:rsidTr="00F55A1B">
              <w:tc>
                <w:tcPr>
                  <w:tcW w:w="5115" w:type="dxa"/>
                </w:tcPr>
                <w:p w14:paraId="6C93F668" w14:textId="77777777" w:rsidR="005062EE" w:rsidRPr="000B3094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0B3094">
                    <w:rPr>
                      <w:i/>
                      <w:iCs/>
                    </w:rPr>
                    <w:t>· 14.1 UN-Nummer</w:t>
                  </w:r>
                </w:p>
                <w:p w14:paraId="0360D425" w14:textId="77777777" w:rsidR="005062EE" w:rsidRPr="000B3094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0B3094">
                    <w:rPr>
                      <w:i/>
                      <w:iCs/>
                    </w:rPr>
                    <w:t>· ADR, ADN, IMDG, IATA</w:t>
                  </w:r>
                </w:p>
              </w:tc>
              <w:tc>
                <w:tcPr>
                  <w:tcW w:w="5115" w:type="dxa"/>
                </w:tcPr>
                <w:p w14:paraId="34B73355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</w:p>
                <w:p w14:paraId="73391DF1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u</w:t>
                  </w:r>
                  <w:r w:rsidRPr="00C230DC">
                    <w:rPr>
                      <w:i/>
                      <w:iCs/>
                    </w:rPr>
                    <w:t>telämnad</w:t>
                  </w:r>
                </w:p>
              </w:tc>
            </w:tr>
            <w:tr w:rsidR="005062EE" w14:paraId="604FD740" w14:textId="77777777" w:rsidTr="00F55A1B">
              <w:tc>
                <w:tcPr>
                  <w:tcW w:w="5115" w:type="dxa"/>
                </w:tcPr>
                <w:p w14:paraId="07B8F818" w14:textId="77777777" w:rsidR="005062EE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0B3094">
                    <w:rPr>
                      <w:i/>
                      <w:iCs/>
                    </w:rPr>
                    <w:t>· 14.2 UN-godkänd transportbenämning</w:t>
                  </w:r>
                </w:p>
                <w:p w14:paraId="5E1260BF" w14:textId="77777777" w:rsidR="005062EE" w:rsidRPr="000B3094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C230DC">
                    <w:rPr>
                      <w:i/>
                      <w:iCs/>
                    </w:rPr>
                    <w:t>· ADR, ADN, IMDG, IATA</w:t>
                  </w:r>
                </w:p>
              </w:tc>
              <w:tc>
                <w:tcPr>
                  <w:tcW w:w="5115" w:type="dxa"/>
                </w:tcPr>
                <w:p w14:paraId="021669CA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</w:p>
                <w:p w14:paraId="30E51B2A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u</w:t>
                  </w:r>
                  <w:r w:rsidRPr="00C230DC">
                    <w:rPr>
                      <w:i/>
                      <w:iCs/>
                    </w:rPr>
                    <w:t>telämnad</w:t>
                  </w:r>
                </w:p>
              </w:tc>
            </w:tr>
            <w:tr w:rsidR="005062EE" w14:paraId="384321DA" w14:textId="77777777" w:rsidTr="00F55A1B">
              <w:tc>
                <w:tcPr>
                  <w:tcW w:w="5115" w:type="dxa"/>
                </w:tcPr>
                <w:p w14:paraId="72019D8B" w14:textId="77777777" w:rsidR="005062EE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C230DC">
                    <w:rPr>
                      <w:i/>
                      <w:iCs/>
                    </w:rPr>
                    <w:t>· 14.3 Transportfaroklasser</w:t>
                  </w:r>
                </w:p>
                <w:p w14:paraId="4305E1E5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C230DC">
                    <w:rPr>
                      <w:i/>
                      <w:iCs/>
                    </w:rPr>
                    <w:t>· ADR, ADN, IMDG, IATA</w:t>
                  </w:r>
                </w:p>
                <w:p w14:paraId="53B7E688" w14:textId="77777777" w:rsidR="005062EE" w:rsidRPr="000B3094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C230DC">
                    <w:rPr>
                      <w:i/>
                      <w:iCs/>
                    </w:rPr>
                    <w:t>· Klass</w:t>
                  </w:r>
                </w:p>
              </w:tc>
              <w:tc>
                <w:tcPr>
                  <w:tcW w:w="5115" w:type="dxa"/>
                </w:tcPr>
                <w:p w14:paraId="5113CF2A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</w:p>
                <w:p w14:paraId="7FFF5D57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</w:p>
                <w:p w14:paraId="02ACBFB5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u</w:t>
                  </w:r>
                  <w:r w:rsidRPr="00C230DC">
                    <w:rPr>
                      <w:i/>
                      <w:iCs/>
                    </w:rPr>
                    <w:t>telämnad</w:t>
                  </w:r>
                </w:p>
              </w:tc>
            </w:tr>
            <w:tr w:rsidR="005062EE" w14:paraId="31D20DB2" w14:textId="77777777" w:rsidTr="00F55A1B">
              <w:tc>
                <w:tcPr>
                  <w:tcW w:w="5115" w:type="dxa"/>
                </w:tcPr>
                <w:p w14:paraId="02766A4A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C230DC">
                    <w:rPr>
                      <w:i/>
                      <w:iCs/>
                    </w:rPr>
                    <w:t>· 14.4 Förpackningsgrupp</w:t>
                  </w:r>
                </w:p>
                <w:p w14:paraId="13D844F2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C230DC">
                    <w:rPr>
                      <w:i/>
                      <w:iCs/>
                    </w:rPr>
                    <w:t>· ADR, IMDG, IATA</w:t>
                  </w:r>
                </w:p>
              </w:tc>
              <w:tc>
                <w:tcPr>
                  <w:tcW w:w="5115" w:type="dxa"/>
                </w:tcPr>
                <w:p w14:paraId="6AD9A3E6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</w:p>
                <w:p w14:paraId="3A7190F0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u</w:t>
                  </w:r>
                  <w:r w:rsidRPr="00C230DC">
                    <w:rPr>
                      <w:i/>
                      <w:iCs/>
                    </w:rPr>
                    <w:t>telämnad</w:t>
                  </w:r>
                </w:p>
              </w:tc>
            </w:tr>
            <w:tr w:rsidR="005062EE" w14:paraId="0FD83EA0" w14:textId="77777777" w:rsidTr="00F55A1B">
              <w:tc>
                <w:tcPr>
                  <w:tcW w:w="5115" w:type="dxa"/>
                </w:tcPr>
                <w:p w14:paraId="62643C94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C230DC">
                    <w:rPr>
                      <w:i/>
                      <w:iCs/>
                    </w:rPr>
                    <w:t>· 14.5 Miljöfaror:</w:t>
                  </w:r>
                </w:p>
                <w:p w14:paraId="3A74EE94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C230DC">
                    <w:rPr>
                      <w:i/>
                      <w:iCs/>
                    </w:rPr>
                    <w:t>· Marina föroreningar:</w:t>
                  </w:r>
                </w:p>
              </w:tc>
              <w:tc>
                <w:tcPr>
                  <w:tcW w:w="5115" w:type="dxa"/>
                </w:tcPr>
                <w:p w14:paraId="32F1846D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</w:p>
                <w:p w14:paraId="76720935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Nej</w:t>
                  </w:r>
                </w:p>
              </w:tc>
            </w:tr>
            <w:tr w:rsidR="005062EE" w14:paraId="39219BE8" w14:textId="77777777" w:rsidTr="00F55A1B">
              <w:tc>
                <w:tcPr>
                  <w:tcW w:w="5115" w:type="dxa"/>
                </w:tcPr>
                <w:p w14:paraId="75E74A14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C230DC">
                    <w:rPr>
                      <w:i/>
                      <w:iCs/>
                    </w:rPr>
                    <w:t>· 14.6 Särskilda försiktighetsåtgärder för</w:t>
                  </w:r>
                </w:p>
                <w:p w14:paraId="4511C5D2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C230DC">
                    <w:rPr>
                      <w:i/>
                      <w:iCs/>
                    </w:rPr>
                    <w:t xml:space="preserve">  användare</w:t>
                  </w:r>
                </w:p>
              </w:tc>
              <w:tc>
                <w:tcPr>
                  <w:tcW w:w="5115" w:type="dxa"/>
                </w:tcPr>
                <w:p w14:paraId="55DEDA23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</w:p>
                <w:p w14:paraId="61634A2D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Inte tillämpbar</w:t>
                  </w:r>
                </w:p>
              </w:tc>
            </w:tr>
            <w:tr w:rsidR="005062EE" w14:paraId="5776EF57" w14:textId="77777777" w:rsidTr="00F55A1B">
              <w:tc>
                <w:tcPr>
                  <w:tcW w:w="5115" w:type="dxa"/>
                </w:tcPr>
                <w:p w14:paraId="5966DAE9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C230DC">
                    <w:rPr>
                      <w:i/>
                      <w:iCs/>
                    </w:rPr>
                    <w:t>· 14.7 Bulktransport i enlighet med bilaga II till</w:t>
                  </w:r>
                </w:p>
                <w:p w14:paraId="59E90F5C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C230DC">
                    <w:rPr>
                      <w:i/>
                      <w:iCs/>
                    </w:rPr>
                    <w:t xml:space="preserve">  MARPOL-konventionen och enligt IBC-kod</w:t>
                  </w:r>
                </w:p>
              </w:tc>
              <w:tc>
                <w:tcPr>
                  <w:tcW w:w="5115" w:type="dxa"/>
                </w:tcPr>
                <w:p w14:paraId="5CFF19C8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</w:p>
                <w:p w14:paraId="418CF3EF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Inte tillämpbar</w:t>
                  </w:r>
                </w:p>
              </w:tc>
            </w:tr>
            <w:tr w:rsidR="005062EE" w14:paraId="392D0DA3" w14:textId="77777777" w:rsidTr="00F55A1B">
              <w:tc>
                <w:tcPr>
                  <w:tcW w:w="5115" w:type="dxa"/>
                </w:tcPr>
                <w:p w14:paraId="08C8BC71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 w:rsidRPr="00C230DC">
                    <w:rPr>
                      <w:i/>
                      <w:iCs/>
                    </w:rPr>
                    <w:t>· FN:s "modellförordning":</w:t>
                  </w:r>
                </w:p>
              </w:tc>
              <w:tc>
                <w:tcPr>
                  <w:tcW w:w="5115" w:type="dxa"/>
                </w:tcPr>
                <w:p w14:paraId="17F1FABE" w14:textId="77777777" w:rsidR="005062EE" w:rsidRPr="00C230DC" w:rsidRDefault="005062EE" w:rsidP="005062EE">
                  <w:pPr>
                    <w:contextualSpacing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u</w:t>
                  </w:r>
                  <w:r w:rsidRPr="00C230DC">
                    <w:rPr>
                      <w:i/>
                      <w:iCs/>
                    </w:rPr>
                    <w:t>telämnad</w:t>
                  </w:r>
                </w:p>
              </w:tc>
            </w:tr>
          </w:tbl>
          <w:p w14:paraId="745B0805" w14:textId="77777777" w:rsidR="00E675CF" w:rsidRDefault="00E675CF" w:rsidP="00E675CF"/>
        </w:tc>
      </w:tr>
      <w:tr w:rsidR="005062EE" w14:paraId="7FA7AC9A" w14:textId="77777777" w:rsidTr="00E675CF">
        <w:tc>
          <w:tcPr>
            <w:tcW w:w="10456" w:type="dxa"/>
          </w:tcPr>
          <w:p w14:paraId="679DF907" w14:textId="77777777" w:rsidR="005062EE" w:rsidRPr="00C230DC" w:rsidRDefault="005062EE" w:rsidP="005062EE">
            <w:pPr>
              <w:contextualSpacing/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</w:pPr>
            <w:r w:rsidRPr="00C230DC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AVSNITT 15: Gällande föreskrifter</w:t>
            </w:r>
          </w:p>
          <w:p w14:paraId="3267644D" w14:textId="77777777" w:rsidR="005062EE" w:rsidRPr="00C230DC" w:rsidRDefault="005062EE" w:rsidP="005062EE">
            <w:pPr>
              <w:contextualSpacing/>
              <w:rPr>
                <w:i/>
                <w:iCs/>
              </w:rPr>
            </w:pPr>
            <w:r w:rsidRPr="00C230DC">
              <w:rPr>
                <w:i/>
                <w:iCs/>
              </w:rPr>
              <w:t>· 15.1 Säkerhet, hälsa och miljöföreskrifter/lagstiftning specifik för</w:t>
            </w:r>
            <w:r>
              <w:rPr>
                <w:i/>
                <w:iCs/>
              </w:rPr>
              <w:t xml:space="preserve"> </w:t>
            </w:r>
            <w:r w:rsidRPr="00C230DC">
              <w:rPr>
                <w:i/>
                <w:iCs/>
              </w:rPr>
              <w:t>ämne eller blandning</w:t>
            </w:r>
          </w:p>
          <w:p w14:paraId="437FA0E2" w14:textId="77777777" w:rsidR="005062EE" w:rsidRPr="00C230DC" w:rsidRDefault="005062EE" w:rsidP="005062EE">
            <w:pPr>
              <w:contextualSpacing/>
              <w:rPr>
                <w:i/>
                <w:iCs/>
              </w:rPr>
            </w:pPr>
            <w:r w:rsidRPr="00C230DC">
              <w:rPr>
                <w:i/>
                <w:iCs/>
              </w:rPr>
              <w:t>· Direktiv 2012/18/EU</w:t>
            </w:r>
          </w:p>
          <w:p w14:paraId="124BDFD0" w14:textId="77777777" w:rsidR="005062EE" w:rsidRPr="00C230DC" w:rsidRDefault="005062EE" w:rsidP="005062EE">
            <w:pPr>
              <w:contextualSpacing/>
              <w:rPr>
                <w:i/>
                <w:iCs/>
              </w:rPr>
            </w:pPr>
            <w:r w:rsidRPr="00C230DC">
              <w:rPr>
                <w:i/>
                <w:iCs/>
              </w:rPr>
              <w:t>· Namngivna farliga ämnen - BILAGA I</w:t>
            </w:r>
            <w:r>
              <w:rPr>
                <w:i/>
                <w:iCs/>
              </w:rPr>
              <w:t>:</w:t>
            </w:r>
            <w:r w:rsidRPr="00C230DC">
              <w:rPr>
                <w:i/>
                <w:iCs/>
              </w:rPr>
              <w:t xml:space="preserve"> Ingen av ingredienserna är listade.</w:t>
            </w:r>
            <w:r>
              <w:rPr>
                <w:i/>
                <w:iCs/>
              </w:rPr>
              <w:t xml:space="preserve"> </w:t>
            </w:r>
          </w:p>
          <w:p w14:paraId="03D5DCA6" w14:textId="77777777" w:rsidR="005062EE" w:rsidRPr="00C230DC" w:rsidRDefault="005062EE" w:rsidP="005062EE">
            <w:pPr>
              <w:contextualSpacing/>
              <w:rPr>
                <w:i/>
                <w:iCs/>
              </w:rPr>
            </w:pPr>
            <w:r w:rsidRPr="00C230DC">
              <w:rPr>
                <w:i/>
                <w:iCs/>
              </w:rPr>
              <w:t>·</w:t>
            </w:r>
            <w:r>
              <w:rPr>
                <w:i/>
                <w:iCs/>
              </w:rPr>
              <w:t xml:space="preserve"> </w:t>
            </w:r>
            <w:r w:rsidRPr="00C230DC">
              <w:rPr>
                <w:i/>
                <w:iCs/>
              </w:rPr>
              <w:t xml:space="preserve">Nationella </w:t>
            </w:r>
            <w:r>
              <w:rPr>
                <w:i/>
                <w:iCs/>
              </w:rPr>
              <w:t>föreskrifter</w:t>
            </w:r>
            <w:r w:rsidRPr="00C230DC">
              <w:rPr>
                <w:i/>
                <w:iCs/>
              </w:rPr>
              <w:t>:</w:t>
            </w:r>
          </w:p>
          <w:p w14:paraId="3E7E749E" w14:textId="77777777" w:rsidR="005062EE" w:rsidRPr="00C230DC" w:rsidRDefault="005062EE" w:rsidP="005062EE">
            <w:pPr>
              <w:contextualSpacing/>
              <w:rPr>
                <w:i/>
                <w:iCs/>
              </w:rPr>
            </w:pPr>
            <w:r w:rsidRPr="00C230DC">
              <w:rPr>
                <w:i/>
                <w:iCs/>
              </w:rPr>
              <w:t>· Anmärkningar om anställningsbegränsningar:</w:t>
            </w:r>
          </w:p>
          <w:p w14:paraId="144CA09A" w14:textId="77777777" w:rsidR="005062EE" w:rsidRDefault="005062EE" w:rsidP="005062EE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C230DC">
              <w:rPr>
                <w:i/>
                <w:iCs/>
              </w:rPr>
              <w:t>Observera anställningsrestriktioner för unga.</w:t>
            </w:r>
          </w:p>
          <w:p w14:paraId="5AB9E732" w14:textId="77777777" w:rsidR="005062EE" w:rsidRPr="00882682" w:rsidRDefault="005062EE" w:rsidP="005062EE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882682">
              <w:rPr>
                <w:i/>
                <w:iCs/>
              </w:rPr>
              <w:t>Observera anställningsrestriktioner för blivande och ammande mödrar, där så är tillämpligt.</w:t>
            </w:r>
          </w:p>
          <w:p w14:paraId="28E74C4C" w14:textId="77777777" w:rsidR="005062EE" w:rsidRPr="00882682" w:rsidRDefault="005062EE" w:rsidP="005062EE">
            <w:pPr>
              <w:contextualSpacing/>
              <w:rPr>
                <w:i/>
                <w:iCs/>
              </w:rPr>
            </w:pPr>
            <w:r w:rsidRPr="00882682">
              <w:rPr>
                <w:i/>
                <w:iCs/>
              </w:rPr>
              <w:t>· Förordning om farliga tillbud: Förordning om farliga tillbud, bilaga: nämns inte.</w:t>
            </w:r>
          </w:p>
          <w:p w14:paraId="4C66BF00" w14:textId="77777777" w:rsidR="005062EE" w:rsidRPr="00882682" w:rsidRDefault="005062EE" w:rsidP="005062EE">
            <w:pPr>
              <w:contextualSpacing/>
              <w:rPr>
                <w:i/>
                <w:iCs/>
              </w:rPr>
            </w:pPr>
            <w:r w:rsidRPr="00882682">
              <w:rPr>
                <w:i/>
                <w:iCs/>
              </w:rPr>
              <w:t>· Vattenföroreningsklass: Vattenföroreningsklass 2 (självutvärdering): klart farlig för vatten.</w:t>
            </w:r>
          </w:p>
          <w:p w14:paraId="1CBA301B" w14:textId="77777777" w:rsidR="005062EE" w:rsidRPr="00882682" w:rsidRDefault="005062EE" w:rsidP="005062EE">
            <w:pPr>
              <w:contextualSpacing/>
              <w:rPr>
                <w:i/>
                <w:iCs/>
              </w:rPr>
            </w:pPr>
            <w:r w:rsidRPr="00882682">
              <w:rPr>
                <w:i/>
                <w:iCs/>
              </w:rPr>
              <w:t>· 15.2 Kemikaliesäkerhetsbedömning:</w:t>
            </w:r>
            <w:r>
              <w:rPr>
                <w:i/>
                <w:iCs/>
              </w:rPr>
              <w:t xml:space="preserve"> </w:t>
            </w:r>
          </w:p>
          <w:p w14:paraId="2DD42BC4" w14:textId="77777777" w:rsidR="005062EE" w:rsidRDefault="005062EE" w:rsidP="005062EE">
            <w:pPr>
              <w:contextualSpacing/>
              <w:rPr>
                <w:i/>
                <w:iCs/>
              </w:rPr>
            </w:pPr>
            <w:r w:rsidRPr="00882682">
              <w:rPr>
                <w:i/>
                <w:iCs/>
              </w:rPr>
              <w:t xml:space="preserve">  Någon kemikaliesäkerhetsbedömning har inte gjorts då denna inte är avsedd för blandningar.</w:t>
            </w:r>
          </w:p>
          <w:p w14:paraId="00CE2680" w14:textId="02546481" w:rsidR="005062EE" w:rsidRDefault="005062EE" w:rsidP="005062EE"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EE4CA0">
              <w:rPr>
                <w:i/>
                <w:iCs/>
              </w:rPr>
              <w:t xml:space="preserve">(fortsättning på sidan </w:t>
            </w:r>
            <w:r w:rsidR="00870CAC">
              <w:rPr>
                <w:i/>
                <w:iCs/>
              </w:rPr>
              <w:t>7</w:t>
            </w:r>
            <w:r w:rsidRPr="00EE4CA0">
              <w:rPr>
                <w:i/>
                <w:iCs/>
              </w:rPr>
              <w:t>)</w:t>
            </w:r>
          </w:p>
        </w:tc>
      </w:tr>
    </w:tbl>
    <w:p w14:paraId="017A837F" w14:textId="179F27A0" w:rsidR="00E675CF" w:rsidRDefault="00E675CF"/>
    <w:p w14:paraId="4FBFDC0C" w14:textId="0E6997AC" w:rsidR="00870CAC" w:rsidRDefault="00870CAC"/>
    <w:p w14:paraId="03EC56C3" w14:textId="1CC92FF0" w:rsidR="00870CAC" w:rsidRDefault="00870CAC"/>
    <w:p w14:paraId="6D40CD65" w14:textId="6A149945" w:rsidR="00870CAC" w:rsidRDefault="00870CAC"/>
    <w:p w14:paraId="3348D664" w14:textId="0C558A81" w:rsidR="00870CAC" w:rsidRDefault="00870CAC"/>
    <w:p w14:paraId="21739C99" w14:textId="5B82316F" w:rsidR="00870CAC" w:rsidRPr="005523F8" w:rsidRDefault="00870CAC" w:rsidP="00870CAC">
      <w:pPr>
        <w:contextualSpacing/>
        <w:rPr>
          <w:i/>
          <w:iCs/>
        </w:rPr>
      </w:pPr>
      <w:r>
        <w:rPr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5523F8">
        <w:rPr>
          <w:i/>
          <w:iCs/>
        </w:rPr>
        <w:t xml:space="preserve">Sid </w:t>
      </w:r>
      <w:r>
        <w:rPr>
          <w:i/>
          <w:iCs/>
        </w:rPr>
        <w:t>7</w:t>
      </w:r>
      <w:r w:rsidRPr="005523F8">
        <w:rPr>
          <w:i/>
          <w:iCs/>
        </w:rPr>
        <w:t>/</w:t>
      </w:r>
      <w:r>
        <w:rPr>
          <w:i/>
          <w:iCs/>
        </w:rPr>
        <w:t>7</w:t>
      </w:r>
    </w:p>
    <w:p w14:paraId="6B4B56B9" w14:textId="77777777" w:rsidR="00870CAC" w:rsidRPr="00ED34AA" w:rsidRDefault="00870CAC" w:rsidP="00870CAC">
      <w:pPr>
        <w:contextualSpacing/>
        <w:jc w:val="center"/>
        <w:rPr>
          <w:i/>
          <w:iCs/>
          <w:sz w:val="28"/>
          <w:szCs w:val="28"/>
        </w:rPr>
      </w:pPr>
      <w:r w:rsidRPr="00ED34AA">
        <w:rPr>
          <w:i/>
          <w:iCs/>
          <w:sz w:val="28"/>
          <w:szCs w:val="28"/>
        </w:rPr>
        <w:t>Säkerhetsdatablad</w:t>
      </w:r>
    </w:p>
    <w:p w14:paraId="444AD970" w14:textId="77777777" w:rsidR="00870CAC" w:rsidRDefault="00870CAC" w:rsidP="00870CAC">
      <w:pPr>
        <w:contextualSpacing/>
        <w:jc w:val="center"/>
        <w:rPr>
          <w:i/>
          <w:iCs/>
          <w:sz w:val="24"/>
          <w:szCs w:val="24"/>
        </w:rPr>
      </w:pPr>
      <w:r w:rsidRPr="00D67CF0">
        <w:rPr>
          <w:i/>
          <w:iCs/>
          <w:sz w:val="24"/>
          <w:szCs w:val="24"/>
        </w:rPr>
        <w:t>enligt 1907/2006/EG, Artikel 31</w:t>
      </w:r>
    </w:p>
    <w:p w14:paraId="06847CA0" w14:textId="77777777" w:rsidR="00870CAC" w:rsidRDefault="00870CAC" w:rsidP="00870CAC">
      <w:pPr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Pr="004553A6">
        <w:rPr>
          <w:i/>
          <w:iCs/>
          <w:sz w:val="24"/>
          <w:szCs w:val="24"/>
        </w:rPr>
        <w:t>Utskriftsdatum: 2019-0</w:t>
      </w:r>
      <w:r>
        <w:rPr>
          <w:i/>
          <w:iCs/>
          <w:sz w:val="24"/>
          <w:szCs w:val="24"/>
        </w:rPr>
        <w:t>6</w:t>
      </w:r>
      <w:r w:rsidRPr="004553A6">
        <w:rPr>
          <w:i/>
          <w:iCs/>
          <w:sz w:val="24"/>
          <w:szCs w:val="24"/>
        </w:rPr>
        <w:t>-0</w:t>
      </w:r>
      <w:r>
        <w:rPr>
          <w:i/>
          <w:iCs/>
          <w:sz w:val="24"/>
          <w:szCs w:val="24"/>
        </w:rPr>
        <w:t>3</w:t>
      </w:r>
      <w:r w:rsidRPr="004553A6">
        <w:rPr>
          <w:i/>
          <w:iCs/>
          <w:sz w:val="24"/>
          <w:szCs w:val="24"/>
        </w:rPr>
        <w:t xml:space="preserve"> </w:t>
      </w:r>
      <w:r w:rsidRPr="004553A6">
        <w:rPr>
          <w:i/>
          <w:iCs/>
          <w:sz w:val="24"/>
          <w:szCs w:val="24"/>
        </w:rPr>
        <w:tab/>
        <w:t xml:space="preserve">    Version nummer 1                                        Reviderad: 2019-0</w:t>
      </w:r>
      <w:r>
        <w:rPr>
          <w:i/>
          <w:iCs/>
          <w:sz w:val="24"/>
          <w:szCs w:val="24"/>
        </w:rPr>
        <w:t>6</w:t>
      </w:r>
      <w:r w:rsidRPr="004553A6">
        <w:rPr>
          <w:i/>
          <w:iCs/>
          <w:sz w:val="24"/>
          <w:szCs w:val="24"/>
        </w:rPr>
        <w:t>-0</w:t>
      </w:r>
      <w:r>
        <w:rPr>
          <w:i/>
          <w:iCs/>
          <w:sz w:val="24"/>
          <w:szCs w:val="24"/>
        </w:rPr>
        <w:t>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0CAC" w14:paraId="591B3D5A" w14:textId="77777777" w:rsidTr="00870CAC">
        <w:tc>
          <w:tcPr>
            <w:tcW w:w="10456" w:type="dxa"/>
          </w:tcPr>
          <w:p w14:paraId="23B1050B" w14:textId="378CAB79" w:rsidR="00870CAC" w:rsidRDefault="00870CAC">
            <w:r w:rsidRPr="003E67E3">
              <w:rPr>
                <w:rFonts w:cstheme="minorHAnsi"/>
                <w:i/>
                <w:iCs/>
              </w:rPr>
              <w:t xml:space="preserve">Handelsnamn: </w:t>
            </w:r>
            <w:r w:rsidRPr="004F1E75">
              <w:rPr>
                <w:rFonts w:cstheme="minorHAnsi"/>
                <w:i/>
                <w:iCs/>
              </w:rPr>
              <w:t xml:space="preserve">Trixie </w:t>
            </w:r>
            <w:r>
              <w:rPr>
                <w:rFonts w:cstheme="minorHAnsi"/>
                <w:i/>
                <w:iCs/>
              </w:rPr>
              <w:t>Torrschampo</w:t>
            </w:r>
          </w:p>
        </w:tc>
      </w:tr>
      <w:tr w:rsidR="00870CAC" w14:paraId="751B7752" w14:textId="77777777" w:rsidTr="00870CAC">
        <w:tc>
          <w:tcPr>
            <w:tcW w:w="10456" w:type="dxa"/>
          </w:tcPr>
          <w:p w14:paraId="7B25E607" w14:textId="77777777" w:rsidR="00870CAC" w:rsidRDefault="00870CAC">
            <w:pPr>
              <w:rPr>
                <w:i/>
                <w:iCs/>
              </w:rPr>
            </w:pPr>
            <w:r w:rsidRPr="00E173FA">
              <w:rPr>
                <w:i/>
                <w:iCs/>
              </w:rPr>
              <w:t xml:space="preserve">                                                      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</w:t>
            </w:r>
            <w:r w:rsidRPr="00E173FA">
              <w:rPr>
                <w:i/>
                <w:iCs/>
              </w:rPr>
              <w:t xml:space="preserve"> (fortsättning från sida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6</w:t>
            </w:r>
            <w:r w:rsidRPr="00E173FA">
              <w:rPr>
                <w:i/>
                <w:iCs/>
              </w:rPr>
              <w:t>)</w:t>
            </w:r>
          </w:p>
          <w:p w14:paraId="20F6F37E" w14:textId="77777777" w:rsidR="00870CAC" w:rsidRPr="00882682" w:rsidRDefault="00870CAC" w:rsidP="00870CAC">
            <w:pPr>
              <w:contextualSpacing/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</w:pPr>
            <w:r w:rsidRPr="00882682">
              <w:rPr>
                <w:b/>
                <w:bCs/>
                <w:i/>
                <w:iCs/>
                <w:color w:val="FFFFFF" w:themeColor="background1"/>
                <w:sz w:val="28"/>
                <w:szCs w:val="28"/>
                <w:highlight w:val="blue"/>
              </w:rPr>
              <w:t>AVSNITT 16: Annan information</w:t>
            </w:r>
          </w:p>
          <w:p w14:paraId="3628F813" w14:textId="77777777" w:rsidR="00870CAC" w:rsidRDefault="00870CAC" w:rsidP="00870CA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60429C">
              <w:rPr>
                <w:i/>
                <w:iCs/>
              </w:rPr>
              <w:t xml:space="preserve">Informationen är baserad på vår nuvarande kunskap, men den utgör ingen garanti för produktens </w:t>
            </w:r>
          </w:p>
          <w:p w14:paraId="626B62E4" w14:textId="11B1167B" w:rsidR="00870CAC" w:rsidRDefault="00870CAC" w:rsidP="00870CA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60429C">
              <w:rPr>
                <w:i/>
                <w:iCs/>
              </w:rPr>
              <w:t xml:space="preserve">egenskaper </w:t>
            </w:r>
            <w:r>
              <w:rPr>
                <w:i/>
                <w:iCs/>
              </w:rPr>
              <w:t xml:space="preserve">  </w:t>
            </w:r>
            <w:r w:rsidRPr="0060429C">
              <w:rPr>
                <w:i/>
                <w:iCs/>
              </w:rPr>
              <w:t>och utgör inte ett avtalsrättsligt förhållande</w:t>
            </w:r>
            <w:r>
              <w:rPr>
                <w:i/>
                <w:iCs/>
              </w:rPr>
              <w:t>.</w:t>
            </w:r>
          </w:p>
          <w:p w14:paraId="4CBDBFDC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 w:rsidRPr="004371C6">
              <w:rPr>
                <w:i/>
                <w:iCs/>
              </w:rPr>
              <w:t>· Klassificering enligt förordning (EG) nr 1272/2008</w:t>
            </w:r>
            <w:r>
              <w:rPr>
                <w:i/>
                <w:iCs/>
              </w:rPr>
              <w:t>:</w:t>
            </w:r>
          </w:p>
          <w:p w14:paraId="26763E81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4371C6">
              <w:rPr>
                <w:i/>
                <w:iCs/>
              </w:rPr>
              <w:t>Klassificeringen av blandningen baseras i allmänhet på beräkningsmetoden med hjälp av ämnesdata</w:t>
            </w:r>
          </w:p>
          <w:p w14:paraId="21489DB4" w14:textId="77777777" w:rsidR="00870CAC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e</w:t>
            </w:r>
            <w:r w:rsidRPr="004371C6">
              <w:rPr>
                <w:i/>
                <w:iCs/>
              </w:rPr>
              <w:t>nligt förordning (EG) nr 1272/2008.</w:t>
            </w:r>
          </w:p>
          <w:p w14:paraId="79D6B6C3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 w:rsidRPr="004371C6">
              <w:rPr>
                <w:i/>
                <w:iCs/>
              </w:rPr>
              <w:t>· Avdelningens sammanfattande datablad:</w:t>
            </w:r>
          </w:p>
          <w:p w14:paraId="3D2E55C5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4371C6">
              <w:rPr>
                <w:i/>
                <w:iCs/>
              </w:rPr>
              <w:t xml:space="preserve">Kemiskt laboratorium och konsultation - Dr. Ulrich </w:t>
            </w:r>
            <w:proofErr w:type="spellStart"/>
            <w:r w:rsidRPr="004371C6">
              <w:rPr>
                <w:i/>
                <w:iCs/>
              </w:rPr>
              <w:t>Boenig</w:t>
            </w:r>
            <w:proofErr w:type="spellEnd"/>
          </w:p>
          <w:p w14:paraId="359D3504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proofErr w:type="spellStart"/>
            <w:r w:rsidRPr="004371C6">
              <w:rPr>
                <w:i/>
                <w:iCs/>
              </w:rPr>
              <w:t>Simonshöfchen</w:t>
            </w:r>
            <w:proofErr w:type="spellEnd"/>
            <w:r w:rsidRPr="004371C6">
              <w:rPr>
                <w:i/>
                <w:iCs/>
              </w:rPr>
              <w:t xml:space="preserve"> 55, D-42327 Wuppertal</w:t>
            </w:r>
          </w:p>
          <w:p w14:paraId="6B07BB1C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4371C6">
              <w:rPr>
                <w:i/>
                <w:iCs/>
              </w:rPr>
              <w:t>Telefon: +49-(0)202-7387557</w:t>
            </w:r>
          </w:p>
          <w:p w14:paraId="22A20727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4371C6">
              <w:rPr>
                <w:i/>
                <w:iCs/>
              </w:rPr>
              <w:t xml:space="preserve">Kontaktperson: Dr. Ulrich </w:t>
            </w:r>
            <w:proofErr w:type="spellStart"/>
            <w:r w:rsidRPr="004371C6">
              <w:rPr>
                <w:i/>
                <w:iCs/>
              </w:rPr>
              <w:t>Boenig</w:t>
            </w:r>
            <w:proofErr w:type="spellEnd"/>
          </w:p>
          <w:p w14:paraId="3CF91EE3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 w:rsidRPr="004371C6">
              <w:rPr>
                <w:i/>
                <w:iCs/>
              </w:rPr>
              <w:t>· Förkortningar och akronymer:</w:t>
            </w:r>
          </w:p>
          <w:p w14:paraId="3C22BB63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4371C6">
              <w:rPr>
                <w:i/>
                <w:iCs/>
              </w:rPr>
              <w:t>CLP: Klassificering, märkning och förpackning (förordning (EG) nr 1272/2008</w:t>
            </w:r>
          </w:p>
          <w:p w14:paraId="1B7BA566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4371C6">
              <w:rPr>
                <w:i/>
                <w:iCs/>
              </w:rPr>
              <w:t>REACH: Europaparlamentets och rådets förordning (EG) nr 1907/2006 av den 18 december 2006 om registrering,</w:t>
            </w:r>
          </w:p>
          <w:p w14:paraId="71850B20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4371C6">
              <w:rPr>
                <w:i/>
                <w:iCs/>
              </w:rPr>
              <w:t>Utvärdering, auktorisation och begränsning av kemikalier.</w:t>
            </w:r>
          </w:p>
          <w:p w14:paraId="1808B8FF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4371C6">
              <w:rPr>
                <w:i/>
                <w:iCs/>
              </w:rPr>
              <w:t>EC50: effektiv koncentration, 50 procent</w:t>
            </w:r>
          </w:p>
          <w:p w14:paraId="21ADD78B" w14:textId="77777777" w:rsidR="00870CAC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4371C6">
              <w:rPr>
                <w:i/>
                <w:iCs/>
              </w:rPr>
              <w:t xml:space="preserve">ADR: Accord européen sur le transport des </w:t>
            </w:r>
            <w:proofErr w:type="spellStart"/>
            <w:r w:rsidRPr="004371C6">
              <w:rPr>
                <w:i/>
                <w:iCs/>
              </w:rPr>
              <w:t>marchandises</w:t>
            </w:r>
            <w:proofErr w:type="spellEnd"/>
            <w:r w:rsidRPr="004371C6">
              <w:rPr>
                <w:i/>
                <w:iCs/>
              </w:rPr>
              <w:t xml:space="preserve"> </w:t>
            </w:r>
            <w:proofErr w:type="spellStart"/>
            <w:r w:rsidRPr="004371C6">
              <w:rPr>
                <w:i/>
                <w:iCs/>
              </w:rPr>
              <w:t>dangereuses</w:t>
            </w:r>
            <w:proofErr w:type="spellEnd"/>
            <w:r w:rsidRPr="004371C6">
              <w:rPr>
                <w:i/>
                <w:iCs/>
              </w:rPr>
              <w:t xml:space="preserve"> par Route (</w:t>
            </w:r>
            <w:r w:rsidRPr="0060429C">
              <w:rPr>
                <w:i/>
                <w:iCs/>
              </w:rPr>
              <w:t>Europeiskt avtal o</w:t>
            </w:r>
            <w:r>
              <w:rPr>
                <w:i/>
                <w:iCs/>
              </w:rPr>
              <w:t xml:space="preserve">m       </w:t>
            </w:r>
          </w:p>
          <w:p w14:paraId="2532BF39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60429C">
              <w:rPr>
                <w:i/>
                <w:iCs/>
              </w:rPr>
              <w:t>internationell transport av farligt gods på väg</w:t>
            </w:r>
            <w:r w:rsidRPr="004371C6">
              <w:rPr>
                <w:i/>
                <w:iCs/>
              </w:rPr>
              <w:t>)</w:t>
            </w:r>
          </w:p>
          <w:p w14:paraId="26DEAB60" w14:textId="77777777" w:rsidR="00870CAC" w:rsidRPr="0060429C" w:rsidRDefault="00870CAC" w:rsidP="00870CAC">
            <w:pPr>
              <w:contextualSpacing/>
              <w:rPr>
                <w:i/>
                <w:iCs/>
                <w:lang w:val="en-US"/>
              </w:rPr>
            </w:pPr>
            <w:r w:rsidRPr="00123332">
              <w:rPr>
                <w:i/>
                <w:iCs/>
              </w:rPr>
              <w:t xml:space="preserve">  </w:t>
            </w:r>
            <w:r w:rsidRPr="0060429C">
              <w:rPr>
                <w:i/>
                <w:iCs/>
                <w:lang w:val="en-US"/>
              </w:rPr>
              <w:t>IMDG: International Maritime Code for Dangerous Goods</w:t>
            </w:r>
          </w:p>
          <w:p w14:paraId="47614828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 w:rsidRPr="009B260B">
              <w:rPr>
                <w:i/>
                <w:iCs/>
                <w:lang w:val="en-US"/>
              </w:rPr>
              <w:t xml:space="preserve">  </w:t>
            </w:r>
            <w:r w:rsidRPr="004371C6">
              <w:rPr>
                <w:i/>
                <w:iCs/>
              </w:rPr>
              <w:t>IATA: International Air Transport Association</w:t>
            </w:r>
          </w:p>
          <w:p w14:paraId="7A1A0EE7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4371C6">
              <w:rPr>
                <w:i/>
                <w:iCs/>
              </w:rPr>
              <w:t>GHS: Globalt harmoniserat system för klassificering och märkning av kemikalier</w:t>
            </w:r>
          </w:p>
          <w:p w14:paraId="54BAB518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4371C6">
              <w:rPr>
                <w:i/>
                <w:iCs/>
              </w:rPr>
              <w:t>VCI: tysk kemisk industriförening</w:t>
            </w:r>
          </w:p>
          <w:p w14:paraId="19C23941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4371C6">
              <w:rPr>
                <w:i/>
                <w:iCs/>
              </w:rPr>
              <w:t>EINECS: Europeisk förteckning över befintliga kommersiella kemiska ämnen</w:t>
            </w:r>
          </w:p>
          <w:p w14:paraId="4B1B3CCB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4371C6">
              <w:rPr>
                <w:i/>
                <w:iCs/>
              </w:rPr>
              <w:t>ELINCS: Europeisk lista över anmälda kemiska ämnen</w:t>
            </w:r>
          </w:p>
          <w:p w14:paraId="6EF80AD7" w14:textId="77777777" w:rsidR="00870CAC" w:rsidRPr="0060429C" w:rsidRDefault="00870CAC" w:rsidP="00870CAC">
            <w:pPr>
              <w:contextualSpacing/>
              <w:rPr>
                <w:i/>
                <w:iCs/>
                <w:lang w:val="en-US"/>
              </w:rPr>
            </w:pPr>
            <w:r w:rsidRPr="009B260B">
              <w:rPr>
                <w:i/>
                <w:iCs/>
              </w:rPr>
              <w:t xml:space="preserve">  </w:t>
            </w:r>
            <w:r w:rsidRPr="0060429C">
              <w:rPr>
                <w:i/>
                <w:iCs/>
                <w:lang w:val="en-US"/>
              </w:rPr>
              <w:t>CAS: Chemical Abstracts Service (</w:t>
            </w:r>
            <w:proofErr w:type="spellStart"/>
            <w:r w:rsidRPr="0060429C">
              <w:rPr>
                <w:i/>
                <w:iCs/>
                <w:lang w:val="en-US"/>
              </w:rPr>
              <w:t>avdelning</w:t>
            </w:r>
            <w:proofErr w:type="spellEnd"/>
            <w:r w:rsidRPr="0060429C">
              <w:rPr>
                <w:i/>
                <w:iCs/>
                <w:lang w:val="en-US"/>
              </w:rPr>
              <w:t xml:space="preserve"> av American Chemical Society)</w:t>
            </w:r>
          </w:p>
          <w:p w14:paraId="3CC4C4CE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 w:rsidRPr="009B260B">
              <w:rPr>
                <w:i/>
                <w:iCs/>
                <w:lang w:val="en-US"/>
              </w:rPr>
              <w:t xml:space="preserve">  </w:t>
            </w:r>
            <w:proofErr w:type="spellStart"/>
            <w:r w:rsidRPr="004371C6">
              <w:rPr>
                <w:i/>
                <w:iCs/>
              </w:rPr>
              <w:t>GefStoffV</w:t>
            </w:r>
            <w:proofErr w:type="spellEnd"/>
            <w:r w:rsidRPr="004371C6">
              <w:rPr>
                <w:i/>
                <w:iCs/>
              </w:rPr>
              <w:t>: Förordning om farliga ämnen, Tyskland</w:t>
            </w:r>
          </w:p>
          <w:p w14:paraId="63BEDF7C" w14:textId="77777777" w:rsidR="00870CAC" w:rsidRPr="0060429C" w:rsidRDefault="00870CAC" w:rsidP="00870CAC">
            <w:pPr>
              <w:contextualSpacing/>
              <w:rPr>
                <w:i/>
                <w:iCs/>
                <w:lang w:val="en-US"/>
              </w:rPr>
            </w:pPr>
            <w:r w:rsidRPr="009B260B">
              <w:rPr>
                <w:i/>
                <w:iCs/>
              </w:rPr>
              <w:t xml:space="preserve">  </w:t>
            </w:r>
            <w:r w:rsidRPr="0060429C">
              <w:rPr>
                <w:i/>
                <w:iCs/>
                <w:lang w:val="en-US"/>
              </w:rPr>
              <w:t xml:space="preserve">DNEL: </w:t>
            </w:r>
            <w:proofErr w:type="spellStart"/>
            <w:r w:rsidRPr="0060429C">
              <w:rPr>
                <w:i/>
                <w:iCs/>
                <w:lang w:val="en-US"/>
              </w:rPr>
              <w:t>Härledd</w:t>
            </w:r>
            <w:proofErr w:type="spellEnd"/>
            <w:r w:rsidRPr="0060429C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0429C">
              <w:rPr>
                <w:i/>
                <w:iCs/>
                <w:lang w:val="en-US"/>
              </w:rPr>
              <w:t>nolleffektnivå</w:t>
            </w:r>
            <w:proofErr w:type="spellEnd"/>
            <w:r w:rsidRPr="0060429C">
              <w:rPr>
                <w:i/>
                <w:iCs/>
                <w:lang w:val="en-US"/>
              </w:rPr>
              <w:t xml:space="preserve"> (REACH)</w:t>
            </w:r>
          </w:p>
          <w:p w14:paraId="2C909148" w14:textId="77777777" w:rsidR="00870CAC" w:rsidRPr="0060429C" w:rsidRDefault="00870CAC" w:rsidP="00870CAC">
            <w:pPr>
              <w:contextualSpacing/>
              <w:rPr>
                <w:i/>
                <w:iCs/>
                <w:lang w:val="en-US"/>
              </w:rPr>
            </w:pPr>
            <w:r w:rsidRPr="0060429C">
              <w:rPr>
                <w:i/>
                <w:iCs/>
                <w:lang w:val="en-US"/>
              </w:rPr>
              <w:t xml:space="preserve">  PNEC: Predicted No-Effect Concentration (REACH)</w:t>
            </w:r>
          </w:p>
          <w:p w14:paraId="41224CF3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 w:rsidRPr="009B260B">
              <w:rPr>
                <w:i/>
                <w:iCs/>
                <w:lang w:val="en-US"/>
              </w:rPr>
              <w:t xml:space="preserve">  </w:t>
            </w:r>
            <w:r w:rsidRPr="004371C6">
              <w:rPr>
                <w:i/>
                <w:iCs/>
              </w:rPr>
              <w:t>LC50: Dödlig koncentration, 50 procent</w:t>
            </w:r>
          </w:p>
          <w:p w14:paraId="5BEEDF4A" w14:textId="77777777" w:rsidR="00870CAC" w:rsidRPr="004371C6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4371C6">
              <w:rPr>
                <w:i/>
                <w:iCs/>
              </w:rPr>
              <w:t>LD50: Dödlig dos, 50 procent</w:t>
            </w:r>
          </w:p>
          <w:p w14:paraId="75F911FD" w14:textId="77777777" w:rsidR="00870CAC" w:rsidRDefault="00870CAC" w:rsidP="00870CAC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Pr="004371C6">
              <w:rPr>
                <w:i/>
                <w:iCs/>
              </w:rPr>
              <w:t>PBT: persistent, bioackumulerande, giftig (persistent, bioackumulerande och giftig)</w:t>
            </w:r>
          </w:p>
          <w:p w14:paraId="050D950B" w14:textId="6F341DA1" w:rsidR="00870CAC" w:rsidRPr="00870CAC" w:rsidRDefault="00870CAC" w:rsidP="00870CA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proofErr w:type="spellStart"/>
            <w:r w:rsidRPr="004371C6">
              <w:rPr>
                <w:i/>
                <w:iCs/>
              </w:rPr>
              <w:t>vPvB</w:t>
            </w:r>
            <w:proofErr w:type="spellEnd"/>
            <w:r w:rsidRPr="004371C6">
              <w:rPr>
                <w:i/>
                <w:iCs/>
              </w:rPr>
              <w:t>: mycket ihållande, mycket bioackumulerande</w:t>
            </w:r>
          </w:p>
        </w:tc>
      </w:tr>
    </w:tbl>
    <w:p w14:paraId="48AF37FA" w14:textId="77777777" w:rsidR="00870CAC" w:rsidRDefault="00870CAC"/>
    <w:sectPr w:rsidR="00870CAC" w:rsidSect="00714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F152" w14:textId="77777777" w:rsidR="00A32821" w:rsidRDefault="00A32821" w:rsidP="00A32821">
      <w:pPr>
        <w:spacing w:after="0" w:line="240" w:lineRule="auto"/>
      </w:pPr>
      <w:r>
        <w:separator/>
      </w:r>
    </w:p>
  </w:endnote>
  <w:endnote w:type="continuationSeparator" w:id="0">
    <w:p w14:paraId="08D4369E" w14:textId="77777777" w:rsidR="00A32821" w:rsidRDefault="00A32821" w:rsidP="00A3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C175" w14:textId="77777777" w:rsidR="00A32821" w:rsidRDefault="00A32821" w:rsidP="00A32821">
      <w:pPr>
        <w:spacing w:after="0" w:line="240" w:lineRule="auto"/>
      </w:pPr>
      <w:r>
        <w:separator/>
      </w:r>
    </w:p>
  </w:footnote>
  <w:footnote w:type="continuationSeparator" w:id="0">
    <w:p w14:paraId="4EC3CB4F" w14:textId="77777777" w:rsidR="00A32821" w:rsidRDefault="00A32821" w:rsidP="00A32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21"/>
    <w:rsid w:val="00044A38"/>
    <w:rsid w:val="001939D1"/>
    <w:rsid w:val="002E4EF6"/>
    <w:rsid w:val="00375518"/>
    <w:rsid w:val="00391793"/>
    <w:rsid w:val="004C15B2"/>
    <w:rsid w:val="005062EE"/>
    <w:rsid w:val="00532038"/>
    <w:rsid w:val="005F471D"/>
    <w:rsid w:val="006C0A29"/>
    <w:rsid w:val="007143F9"/>
    <w:rsid w:val="007F3569"/>
    <w:rsid w:val="00870CAC"/>
    <w:rsid w:val="008C6BEF"/>
    <w:rsid w:val="0092115D"/>
    <w:rsid w:val="009F0FD3"/>
    <w:rsid w:val="00A32821"/>
    <w:rsid w:val="00B161AB"/>
    <w:rsid w:val="00BE14FB"/>
    <w:rsid w:val="00D031E2"/>
    <w:rsid w:val="00E675CF"/>
    <w:rsid w:val="00E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6BC3B"/>
  <w15:chartTrackingRefBased/>
  <w15:docId w15:val="{BC49ADBB-EDF4-4E75-A694-D9660FBB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F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0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03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rich.boenig@clc-boeni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3339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Grönlund</dc:creator>
  <cp:keywords/>
  <dc:description/>
  <cp:lastModifiedBy>Linda Grönlund</cp:lastModifiedBy>
  <cp:revision>12</cp:revision>
  <dcterms:created xsi:type="dcterms:W3CDTF">2023-01-16T13:53:00Z</dcterms:created>
  <dcterms:modified xsi:type="dcterms:W3CDTF">2023-01-17T12:56:00Z</dcterms:modified>
</cp:coreProperties>
</file>